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Cambria" w:cs="Cambria" w:eastAsia="Cambria" w:hAnsi="Cambria"/>
          <w:b/>
          <w:bCs/>
          <w:color w:val="1F3A5F"/>
          <w:sz w:val="30"/>
          <w:szCs w:val="30"/>
        </w:rPr>
        <w:t xml:space="preserve">UNIVERSITAS HANG TUAH PEKANBARU</w:t>
      </w:r>
    </w:p>
    <w:p>
      <w:pPr>
        <w:spacing w:after="40" w:before="0"/>
        <w:jc w:val="center"/>
      </w:pPr>
      <w:r>
        <w:rPr>
          <w:rFonts w:ascii="Calibri" w:cs="Calibri" w:eastAsia="Calibri" w:hAnsi="Calibri"/>
          <w:b/>
          <w:bCs/>
          <w:color w:val="1F3A5F"/>
          <w:sz w:val="24"/>
          <w:szCs w:val="24"/>
        </w:rPr>
        <w:t xml:space="preserve">FAKULTAS ILMU KOMUNIKASI DAN HUKUM</w:t>
      </w:r>
    </w:p>
    <w:p>
      <w:pPr>
        <w:spacing w:after="40" w:before="0"/>
        <w:jc w:val="center"/>
      </w:pPr>
      <w:r>
        <w:rPr>
          <w:rFonts w:ascii="Calibri" w:cs="Calibri" w:eastAsia="Calibri" w:hAnsi="Calibri"/>
          <w:b/>
          <w:bCs/>
          <w:color w:val="1F3A5F"/>
          <w:sz w:val="24"/>
          <w:szCs w:val="24"/>
        </w:rPr>
        <w:t xml:space="preserve">PROGRAM STUDI S1 HUKUM</w:t>
      </w:r>
    </w:p>
    <w:p>
      <w:pPr>
        <w:pBdr>
          <w:bottom w:val="single" w:color="B8892B" w:sz="6" w:space="8"/>
        </w:pBdr>
        <w:spacing w:after="7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single" w:color="B8892B" w:sz="36"/>
              <w:right w:val="none" w:color="FFFFFF" w:sz="0"/>
            </w:tcBorders>
            <w:shd w:fill="1F3A5F" w:color="auto" w:val="clear"/>
            <w:tcMar>
              <w:top w:type="dxa" w:w="500"/>
              <w:left w:type="dxa" w:w="400"/>
              <w:bottom w:type="dxa" w:w="500"/>
              <w:right w:type="dxa" w:w="400"/>
            </w:tcMar>
          </w:tcPr>
          <w:p>
            <w:pPr>
              <w:spacing w:after="200" w:before="0"/>
              <w:jc w:val="center"/>
            </w:pPr>
            <w:r>
              <w:rPr>
                <w:rFonts w:ascii="Calibri" w:cs="Calibri" w:eastAsia="Calibri" w:hAnsi="Calibri"/>
                <w:b/>
                <w:bCs/>
                <w:color w:val="B8892B"/>
                <w:spacing w:val="120"/>
                <w:sz w:val="26"/>
                <w:szCs w:val="26"/>
              </w:rPr>
              <w:t xml:space="preserve">MODUL BAHAN AJAR</w:t>
            </w:r>
          </w:p>
          <w:p>
            <w:pPr>
              <w:spacing w:after="0" w:before="0"/>
              <w:jc w:val="center"/>
            </w:pPr>
            <w:r>
              <w:rPr>
                <w:rFonts w:ascii="Cambria" w:cs="Cambria" w:eastAsia="Cambria" w:hAnsi="Cambria"/>
                <w:b/>
                <w:bCs/>
                <w:color w:val="FFFFFF"/>
                <w:sz w:val="84"/>
                <w:szCs w:val="84"/>
              </w:rPr>
              <w:t xml:space="preserve">HUKUM</w:t>
            </w:r>
          </w:p>
          <w:p>
            <w:pPr>
              <w:spacing w:after="240" w:before="0"/>
              <w:jc w:val="center"/>
            </w:pPr>
            <w:r>
              <w:rPr>
                <w:rFonts w:ascii="Cambria" w:cs="Cambria" w:eastAsia="Cambria" w:hAnsi="Cambria"/>
                <w:b/>
                <w:bCs/>
                <w:color w:val="FFFFFF"/>
                <w:sz w:val="84"/>
                <w:szCs w:val="84"/>
              </w:rPr>
              <w:t xml:space="preserve">INTERNASIONAL</w:t>
            </w:r>
          </w:p>
          <w:p>
            <w:pPr>
              <w:spacing w:after="0" w:before="0"/>
              <w:jc w:val="center"/>
            </w:pPr>
            <w:r>
              <w:rPr>
                <w:rFonts w:ascii="Cambria" w:cs="Cambria" w:eastAsia="Cambria" w:hAnsi="Cambria"/>
                <w:i/>
                <w:iCs/>
                <w:color w:val="E8EDF4"/>
                <w:sz w:val="26"/>
                <w:szCs w:val="26"/>
              </w:rPr>
              <w:t xml:space="preserve">Memahami Aturan Main Dunia: dari Kedaulatan Negara, Laut, dan Iklim hingga Ruang Siber</w:t>
            </w:r>
          </w:p>
        </w:tc>
      </w:tr>
    </w:tbl>
    <w:p>
      <w:pPr>
        <w:spacing w:after="600" w:line="200"/>
      </w:pPr>
    </w:p>
    <w:tbl>
      <w:tblPr>
        <w:tblW w:type="dxa" w:w="7000"/>
        <w:jc w:val="center"/>
        <w:tblBorders>
          <w:top w:val="single" w:color="auto" w:sz="4"/>
          <w:left w:val="single" w:color="auto" w:sz="4"/>
          <w:bottom w:val="single" w:color="auto" w:sz="4"/>
          <w:right w:val="single" w:color="auto" w:sz="4"/>
          <w:insideH w:val="single" w:color="auto" w:sz="4"/>
          <w:insideV w:val="single" w:color="auto" w:sz="4"/>
        </w:tblBorders>
      </w:tblPr>
      <w:tblGrid>
        <w:gridCol w:w="2400"/>
        <w:gridCol w:w="4600"/>
      </w:tblGrid>
      <w:tr>
        <w:tc>
          <w:tcPr>
            <w:tcW w:type="dxa" w:w="2400"/>
            <w:tcBorders>
              <w:top w:val="none" w:color="FFFFFF" w:sz="0"/>
              <w:left w:val="none" w:color="FFFFFF" w:sz="0"/>
              <w:bottom w:val="single" w:color="D0D5DC" w:sz="4"/>
              <w:right w:val="none" w:color="FFFFFF" w:sz="0"/>
            </w:tcBorders>
            <w:tcMar>
              <w:top w:type="dxa" w:w="90"/>
              <w:left w:type="dxa" w:w="100"/>
              <w:bottom w:type="dxa" w:w="90"/>
              <w:right w:type="dxa" w:w="100"/>
            </w:tcMar>
          </w:tcPr>
          <w:p>
            <w:r>
              <w:rPr>
                <w:b/>
                <w:bCs/>
                <w:color w:val="1F3A5F"/>
                <w:sz w:val="22"/>
                <w:szCs w:val="22"/>
              </w:rPr>
              <w:t xml:space="preserve">Mata Kuliah</w:t>
            </w:r>
          </w:p>
        </w:tc>
        <w:tc>
          <w:tcPr>
            <w:tcW w:type="dxa" w:w="4600"/>
            <w:tcBorders>
              <w:top w:val="none" w:color="FFFFFF" w:sz="0"/>
              <w:left w:val="none" w:color="FFFFFF" w:sz="0"/>
              <w:bottom w:val="single" w:color="D0D5DC" w:sz="4"/>
              <w:right w:val="none" w:color="FFFFFF" w:sz="0"/>
            </w:tcBorders>
            <w:tcMar>
              <w:top w:type="dxa" w:w="90"/>
              <w:left w:type="dxa" w:w="100"/>
              <w:bottom w:type="dxa" w:w="90"/>
              <w:right w:type="dxa" w:w="100"/>
            </w:tcMar>
          </w:tcPr>
          <w:p>
            <w:r>
              <w:rPr>
                <w:sz w:val="22"/>
                <w:szCs w:val="22"/>
              </w:rPr>
              <w:t xml:space="preserve">Hukum Internasional</w:t>
            </w:r>
          </w:p>
        </w:tc>
      </w:tr>
      <w:tr>
        <w:tc>
          <w:tcPr>
            <w:tcW w:type="dxa" w:w="2400"/>
            <w:tcBorders>
              <w:top w:val="none" w:color="FFFFFF" w:sz="0"/>
              <w:left w:val="none" w:color="FFFFFF" w:sz="0"/>
              <w:bottom w:val="single" w:color="D0D5DC" w:sz="4"/>
              <w:right w:val="none" w:color="FFFFFF" w:sz="0"/>
            </w:tcBorders>
            <w:tcMar>
              <w:top w:type="dxa" w:w="90"/>
              <w:left w:type="dxa" w:w="100"/>
              <w:bottom w:type="dxa" w:w="90"/>
              <w:right w:type="dxa" w:w="100"/>
            </w:tcMar>
          </w:tcPr>
          <w:p>
            <w:r>
              <w:rPr>
                <w:b/>
                <w:bCs/>
                <w:color w:val="1F3A5F"/>
                <w:sz w:val="22"/>
                <w:szCs w:val="22"/>
              </w:rPr>
              <w:t xml:space="preserve">Beban Studi</w:t>
            </w:r>
          </w:p>
        </w:tc>
        <w:tc>
          <w:tcPr>
            <w:tcW w:type="dxa" w:w="4600"/>
            <w:tcBorders>
              <w:top w:val="none" w:color="FFFFFF" w:sz="0"/>
              <w:left w:val="none" w:color="FFFFFF" w:sz="0"/>
              <w:bottom w:val="single" w:color="D0D5DC" w:sz="4"/>
              <w:right w:val="none" w:color="FFFFFF" w:sz="0"/>
            </w:tcBorders>
            <w:tcMar>
              <w:top w:type="dxa" w:w="90"/>
              <w:left w:type="dxa" w:w="100"/>
              <w:bottom w:type="dxa" w:w="90"/>
              <w:right w:type="dxa" w:w="100"/>
            </w:tcMar>
          </w:tcPr>
          <w:p>
            <w:r>
              <w:rPr>
                <w:sz w:val="22"/>
                <w:szCs w:val="22"/>
              </w:rPr>
              <w:t xml:space="preserve">2 SKS  |  16 Pertemuan</w:t>
            </w:r>
          </w:p>
        </w:tc>
      </w:tr>
      <w:tr>
        <w:tc>
          <w:tcPr>
            <w:tcW w:type="dxa" w:w="2400"/>
            <w:tcBorders>
              <w:top w:val="none" w:color="FFFFFF" w:sz="0"/>
              <w:left w:val="none" w:color="FFFFFF" w:sz="0"/>
              <w:bottom w:val="single" w:color="D0D5DC" w:sz="4"/>
              <w:right w:val="none" w:color="FFFFFF" w:sz="0"/>
            </w:tcBorders>
            <w:tcMar>
              <w:top w:type="dxa" w:w="90"/>
              <w:left w:type="dxa" w:w="100"/>
              <w:bottom w:type="dxa" w:w="90"/>
              <w:right w:type="dxa" w:w="100"/>
            </w:tcMar>
          </w:tcPr>
          <w:p>
            <w:r>
              <w:rPr>
                <w:b/>
                <w:bCs/>
                <w:color w:val="1F3A5F"/>
                <w:sz w:val="22"/>
                <w:szCs w:val="22"/>
              </w:rPr>
              <w:t xml:space="preserve">Semester</w:t>
            </w:r>
          </w:p>
        </w:tc>
        <w:tc>
          <w:tcPr>
            <w:tcW w:type="dxa" w:w="4600"/>
            <w:tcBorders>
              <w:top w:val="none" w:color="FFFFFF" w:sz="0"/>
              <w:left w:val="none" w:color="FFFFFF" w:sz="0"/>
              <w:bottom w:val="single" w:color="D0D5DC" w:sz="4"/>
              <w:right w:val="none" w:color="FFFFFF" w:sz="0"/>
            </w:tcBorders>
            <w:tcMar>
              <w:top w:type="dxa" w:w="90"/>
              <w:left w:type="dxa" w:w="100"/>
              <w:bottom w:type="dxa" w:w="90"/>
              <w:right w:type="dxa" w:w="100"/>
            </w:tcMar>
          </w:tcPr>
          <w:p>
            <w:r>
              <w:rPr>
                <w:sz w:val="22"/>
                <w:szCs w:val="22"/>
              </w:rPr>
              <w:t xml:space="preserve">3 / Ganjil, Tahun Ajaran 2026/2027</w:t>
            </w:r>
          </w:p>
        </w:tc>
      </w:tr>
      <w:tr>
        <w:tc>
          <w:tcPr>
            <w:tcW w:type="dxa" w:w="2400"/>
            <w:tcBorders>
              <w:top w:val="none" w:color="FFFFFF" w:sz="0"/>
              <w:left w:val="none" w:color="FFFFFF" w:sz="0"/>
              <w:bottom w:val="single" w:color="D0D5DC" w:sz="4"/>
              <w:right w:val="none" w:color="FFFFFF" w:sz="0"/>
            </w:tcBorders>
            <w:tcMar>
              <w:top w:type="dxa" w:w="90"/>
              <w:left w:type="dxa" w:w="100"/>
              <w:bottom w:type="dxa" w:w="90"/>
              <w:right w:type="dxa" w:w="100"/>
            </w:tcMar>
          </w:tcPr>
          <w:p>
            <w:r>
              <w:rPr>
                <w:b/>
                <w:bCs/>
                <w:color w:val="1F3A5F"/>
                <w:sz w:val="22"/>
                <w:szCs w:val="22"/>
              </w:rPr>
              <w:t xml:space="preserve">Dosen Pengampu</w:t>
            </w:r>
          </w:p>
        </w:tc>
        <w:tc>
          <w:tcPr>
            <w:tcW w:type="dxa" w:w="4600"/>
            <w:tcBorders>
              <w:top w:val="none" w:color="FFFFFF" w:sz="0"/>
              <w:left w:val="none" w:color="FFFFFF" w:sz="0"/>
              <w:bottom w:val="single" w:color="D0D5DC" w:sz="4"/>
              <w:right w:val="none" w:color="FFFFFF" w:sz="0"/>
            </w:tcBorders>
            <w:tcMar>
              <w:top w:type="dxa" w:w="90"/>
              <w:left w:type="dxa" w:w="100"/>
              <w:bottom w:type="dxa" w:w="90"/>
              <w:right w:type="dxa" w:w="100"/>
            </w:tcMar>
          </w:tcPr>
          <w:p>
            <w:r>
              <w:rPr>
                <w:sz w:val="22"/>
                <w:szCs w:val="22"/>
              </w:rPr>
              <w:t xml:space="preserve">Dr. Sri Dwi Retno Ningsih, S.H., M.H.</w:t>
            </w:r>
          </w:p>
        </w:tc>
      </w:tr>
    </w:tbl>
    <w:p>
      <w:pPr>
        <w:spacing w:after="700" w:line="200"/>
      </w:pPr>
    </w:p>
    <w:p>
      <w:pPr>
        <w:spacing w:after="0" w:before="0"/>
        <w:jc w:val="center"/>
      </w:pPr>
      <w:r>
        <w:rPr>
          <w:rFonts w:ascii="Calibri" w:cs="Calibri" w:eastAsia="Calibri" w:hAnsi="Calibri"/>
          <w:color w:val="595959"/>
          <w:sz w:val="22"/>
          <w:szCs w:val="22"/>
        </w:rPr>
        <w:t xml:space="preserve">Pekanbaru, 2026</w:t>
      </w:r>
    </w:p>
    <w:p>
      <w:pPr>
        <w:sectPr>
          <w:pgSz w:w="11906" w:h="16838" w:orient="portrait"/>
          <w:pgMar w:top="1440" w:right="1440" w:bottom="1300" w:left="1440" w:header="620" w:footer="560" w:gutter="0"/>
          <w:pgNumType/>
          <w:docGrid w:linePitch="360"/>
        </w:sectPr>
      </w:pPr>
    </w:p>
    <w:p>
      <w:pPr>
        <w:pStyle w:val="Heading1"/>
        <w:keepNext/>
        <w:pBdr>
          <w:bottom w:val="single" w:color="B8892B" w:sz="12" w:space="6"/>
        </w:pBdr>
        <w:spacing w:after="100"/>
      </w:pPr>
      <w:r>
        <w:t xml:space="preserve">Kata Pengantar</w:t>
      </w:r>
    </w:p>
    <w:p>
      <w:pPr>
        <w:spacing w:after="170" w:before="0" w:line="300"/>
        <w:jc w:val="both"/>
      </w:pPr>
      <w:r>
        <w:rPr>
          <w:sz w:val="22"/>
          <w:szCs w:val="22"/>
        </w:rPr>
        <w:t xml:space="preserve">Selamat datang di mata kuliah Hukum Internasional.</w:t>
      </w:r>
    </w:p>
    <w:p>
      <w:pPr>
        <w:spacing w:after="170" w:before="0" w:line="300"/>
        <w:jc w:val="both"/>
      </w:pPr>
      <w:r>
        <w:rPr>
          <w:sz w:val="22"/>
          <w:szCs w:val="22"/>
        </w:rPr>
        <w:t xml:space="preserve">Saya sering memulai kuliah dengan pertanyaan sederhana: siapa yang menjaga aturan main di antara negara-negara? Jawaban mahasiswa biasanya beragam, dan hampir selalu diakhiri dengan tawa kecil ketika kita sadar bahwa dunia ini tidak punya polisi, hakim, dan parlemen tunggal. Justru di situlah daya tarik hukum internasional. Ia adalah hukum yang tumbuh dari kesepakatan, kebiasaan, dan kepentingan bersama, tetapi hadir dalam hidup kita sehari-hari: pada paket yang dikirim lintas negara, pada penerbangan yang kita tumpangi, pada batas laut di depan Riau dan Kepulauan Natuna, pada kabut asap yang melintasi batas, bahkan pada data pribadi yang tersimpan di server di belahan dunia lain.</w:t>
      </w:r>
    </w:p>
    <w:p>
      <w:pPr>
        <w:spacing w:after="170" w:before="0" w:line="300"/>
        <w:jc w:val="both"/>
      </w:pPr>
      <w:r>
        <w:rPr>
          <w:sz w:val="22"/>
          <w:szCs w:val="22"/>
        </w:rPr>
        <w:t xml:space="preserve">Modul ini disusun mengikuti kontrak perkuliahan semester ganjil 2026/2027 dengan empat belas pokok bahasan, ditambah panduan ujian tengah dan akhir semester. Setiap bab dirancang agar dapat dibaca sebelum kuliah, didiskusikan di kelas, dan diuji melalui kasus. Kamu akan menemukan pembuka berupa cerita atau teka-teki hukum, uraian materi yang dijelaskan dengan bahasa yang sederhana, kotak-kotak kasus dan fakta menarik, rangkuman, soal diskusi, aktivitas kelas, serta saran cara memanfaatkan kecerdasan buatan (AI) untuk belajar.</w:t>
      </w:r>
    </w:p>
    <w:p>
      <w:pPr>
        <w:spacing w:after="170" w:before="0" w:line="300"/>
        <w:jc w:val="both"/>
      </w:pPr>
      <w:r>
        <w:rPr>
          <w:sz w:val="22"/>
          <w:szCs w:val="22"/>
        </w:rPr>
        <w:t xml:space="preserve">Satu pesan penting tentang AI: ia adalah mitra belajar yang hebat, tetapi bukan sumber hukum. Setiap nomor pasal, nama putusan, dan kutipan yang kamu peroleh dari AI harus kamu periksa kembali pada sumber primer. Kebiasaan ini akan menyelamatkanmu dari kekeliruan dan akan menjadi bekal berharga sebagai sarjana hukum.</w:t>
      </w:r>
    </w:p>
    <w:p>
      <w:pPr>
        <w:spacing w:after="170" w:before="0" w:line="300"/>
        <w:jc w:val="both"/>
      </w:pPr>
      <w:r>
        <w:rPr>
          <w:sz w:val="22"/>
          <w:szCs w:val="22"/>
        </w:rPr>
        <w:t xml:space="preserve">Penyusunan modul ini memanfaatkan bantuan kecerdasan buatan sebagai asisten penulisan, dengan peninjauan dan penyempurnaan oleh dosen pengampu. Kritik dan saran dari mahasiswa sangat saya harapkan agar modul ini terus diperbaiki.</w:t>
      </w:r>
    </w:p>
    <w:p>
      <w:pPr>
        <w:spacing w:after="170" w:before="0" w:line="300"/>
        <w:jc w:val="both"/>
      </w:pPr>
      <w:r>
        <w:rPr>
          <w:sz w:val="22"/>
          <w:szCs w:val="22"/>
        </w:rPr>
        <w:t xml:space="preserve">Selamat belajar. Semoga hukum internasional tidak hanya menjadi mata kuliah yang kamu lulusi, tetapi juga cara pandang baru untuk memahami dunia.</w:t>
      </w:r>
    </w:p>
    <w:p>
      <w:pPr>
        <w:spacing w:after="40" w:before="300"/>
        <w:jc w:val="right"/>
      </w:pPr>
      <w:r>
        <w:rPr>
          <w:sz w:val="22"/>
          <w:szCs w:val="22"/>
        </w:rPr>
        <w:t xml:space="preserve">Pekanbaru, 2026</w:t>
      </w:r>
    </w:p>
    <w:p>
      <w:pPr>
        <w:spacing w:after="700"/>
        <w:jc w:val="right"/>
      </w:pPr>
      <w:r>
        <w:rPr>
          <w:sz w:val="22"/>
          <w:szCs w:val="22"/>
        </w:rPr>
        <w:t xml:space="preserve">Penyusun</w:t>
      </w:r>
    </w:p>
    <w:p>
      <w:pPr>
        <w:spacing w:after="0"/>
        <w:jc w:val="right"/>
      </w:pPr>
      <w:r>
        <w:rPr>
          <w:b/>
          <w:bCs/>
          <w:sz w:val="22"/>
          <w:szCs w:val="22"/>
        </w:rPr>
        <w:t xml:space="preserve">Dr. Sri Dwi Retno Ningsih, S.H., M.H.</w:t>
      </w:r>
    </w:p>
    <w:p>
      <w:pPr>
        <w:pStyle w:val="Heading1"/>
        <w:keepNext/>
        <w:pageBreakBefore/>
        <w:pBdr>
          <w:bottom w:val="single" w:color="B8892B" w:sz="12" w:space="6"/>
        </w:pBdr>
        <w:spacing w:after="100"/>
      </w:pPr>
      <w:r>
        <w:t xml:space="preserve">Petunjuk Penggunaan Modul</w:t>
      </w:r>
    </w:p>
    <w:p>
      <w:pPr>
        <w:pStyle w:val="Heading2"/>
        <w:keepNext/>
        <w:spacing w:after="120" w:before="280"/>
      </w:pPr>
      <w:r>
        <w:t xml:space="preserve">Deskripsi Mata Kuliah</w:t>
      </w:r>
    </w:p>
    <w:p>
      <w:pPr>
        <w:spacing w:after="140" w:before="0" w:line="300"/>
        <w:jc w:val="both"/>
      </w:pPr>
      <w:r>
        <w:rPr>
          <w:sz w:val="22"/>
          <w:szCs w:val="22"/>
        </w:rPr>
        <w:t xml:space="preserve">Mata kuliah ini membahas dasar-dasar, sumber, subjek, dan cara kerja hukum internasional publik, serta penerapannya pada isu-isu kontemporer, yaitu yurisdiksi, tanggung jawab negara, penyelesaian sengketa, hukum laut, perubahan iklim, hak asasi manusia dan hukum humaniter, serta tantangan era digital. Pembelajaran menggunakan pendekatan berpusat pada mahasiswa (student centered learning) dengan penekanan pada diskusi, pembelajaran berbasis masalah (problem based learning), dan pengembangan kompetensi.</w:t>
      </w:r>
    </w:p>
    <w:p>
      <w:pPr>
        <w:pStyle w:val="Heading2"/>
        <w:keepNext/>
        <w:spacing w:after="120" w:before="280"/>
      </w:pPr>
      <w:r>
        <w:t xml:space="preserve">Capaian Pembelajaran Mata Kuliah</w:t>
      </w:r>
    </w:p>
    <w:p>
      <w:pPr>
        <w:pStyle w:val="ListParagraph"/>
        <w:numPr>
          <w:ilvl w:val="0"/>
          <w:numId w:val="2"/>
        </w:numPr>
        <w:spacing w:after="80" w:line="290"/>
        <w:jc w:val="left"/>
      </w:pPr>
      <w:r>
        <w:rPr>
          <w:sz w:val="22"/>
          <w:szCs w:val="22"/>
        </w:rPr>
        <w:t xml:space="preserve">Menjelaskan konsep, karakteristik, sumber, dan subjek hukum internasional secara sistematis.</w:t>
      </w:r>
    </w:p>
    <w:p>
      <w:pPr>
        <w:pStyle w:val="ListParagraph"/>
        <w:numPr>
          <w:ilvl w:val="0"/>
          <w:numId w:val="2"/>
        </w:numPr>
        <w:spacing w:after="80" w:line="290"/>
        <w:jc w:val="left"/>
      </w:pPr>
      <w:r>
        <w:rPr>
          <w:sz w:val="22"/>
          <w:szCs w:val="22"/>
        </w:rPr>
        <w:t xml:space="preserve">Menganalisis hubungan hukum internasional dengan hukum nasional serta proses pembuatan dan pengesahan perjanjian internasional, termasuk dalam praktik Indonesia.</w:t>
      </w:r>
    </w:p>
    <w:p>
      <w:pPr>
        <w:pStyle w:val="ListParagraph"/>
        <w:numPr>
          <w:ilvl w:val="0"/>
          <w:numId w:val="2"/>
        </w:numPr>
        <w:spacing w:after="80" w:line="290"/>
        <w:jc w:val="left"/>
      </w:pPr>
      <w:r>
        <w:rPr>
          <w:sz w:val="22"/>
          <w:szCs w:val="22"/>
        </w:rPr>
        <w:t xml:space="preserve">Menerapkan kaidah yurisdiksi, tanggung jawab negara, dan penyelesaian sengketa pada kasus konkret.</w:t>
      </w:r>
    </w:p>
    <w:p>
      <w:pPr>
        <w:pStyle w:val="ListParagraph"/>
        <w:numPr>
          <w:ilvl w:val="0"/>
          <w:numId w:val="2"/>
        </w:numPr>
        <w:spacing w:after="80" w:line="290"/>
        <w:jc w:val="left"/>
      </w:pPr>
      <w:r>
        <w:rPr>
          <w:sz w:val="22"/>
          <w:szCs w:val="22"/>
        </w:rPr>
        <w:t xml:space="preserve">Menganalisis isu kontemporer di bidang hukum laut, lingkungan dan iklim, hak asasi manusia dan hukum humaniter, serta ruang digital.</w:t>
      </w:r>
    </w:p>
    <w:p>
      <w:pPr>
        <w:pStyle w:val="ListParagraph"/>
        <w:numPr>
          <w:ilvl w:val="0"/>
          <w:numId w:val="2"/>
        </w:numPr>
        <w:spacing w:after="80" w:line="290"/>
        <w:jc w:val="left"/>
      </w:pPr>
      <w:r>
        <w:rPr>
          <w:sz w:val="22"/>
          <w:szCs w:val="22"/>
        </w:rPr>
        <w:t xml:space="preserve">Menunjukkan sikap kritis, kolaboratif, etis, dan bertanggung jawab dalam berargumen dan memanfaatkan teknologi, termasuk AI, dalam pembelajaran.</w:t>
      </w:r>
    </w:p>
    <w:p>
      <w:pPr>
        <w:spacing w:after="80" w:line="200"/>
      </w:pPr>
    </w:p>
    <w:p>
      <w:pPr>
        <w:pStyle w:val="Heading2"/>
        <w:keepNext/>
        <w:spacing w:after="120" w:before="280"/>
      </w:pPr>
      <w:r>
        <w:t xml:space="preserve">Alur Belajar Setiap Pertemuan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7026"/>
      </w:tblGrid>
      <w:tr>
        <w:trPr>
          <w:cantSplit/>
          <w:tblHeader/>
        </w:trPr>
        <w:tc>
          <w:tcPr>
            <w:tcW w:type="dxa" w:w="20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Tahap</w:t>
            </w:r>
          </w:p>
        </w:tc>
        <w:tc>
          <w:tcPr>
            <w:tcW w:type="dxa" w:w="70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Yang Kamu Lakukan</w:t>
            </w:r>
          </w:p>
        </w:tc>
      </w:tr>
      <w:tr>
        <w:trPr>
          <w:cantSplit/>
        </w:trPr>
        <w:tc>
          <w:tcPr>
            <w:tcW w:type="dxa" w:w="2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Sebelum kelas</w:t>
            </w:r>
          </w:p>
        </w:tc>
        <w:tc>
          <w:tcPr>
            <w:tcW w:type="dxa" w:w="7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Baca bab yang dijadwalkan, tandai istilah yang belum kamu pahami, lalu siapkan bahan diskusi untuk pertemuan berikutnya sesuai komitmen perkuliahan. Gunakan satu prompt AI dari kotak "Belajar Bersama AI" untuk menguji pemahaman awal.</w:t>
            </w:r>
          </w:p>
        </w:tc>
      </w:tr>
      <w:tr>
        <w:trPr>
          <w:cantSplit/>
        </w:trPr>
        <w:tc>
          <w:tcPr>
            <w:tcW w:type="dxa" w:w="2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Di dalam kelas</w:t>
            </w:r>
          </w:p>
        </w:tc>
        <w:tc>
          <w:tcPr>
            <w:tcW w:type="dxa" w:w="7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Dosen bertindak sebagai fasilitator. Kamu aktif berdiskusi, berdebat, dan memecahkan kasus. Forum diskusi dibuka setelah ada instruksi dosen agar capaian kurikulum terjaga.</w:t>
            </w:r>
          </w:p>
        </w:tc>
      </w:tr>
      <w:tr>
        <w:trPr>
          <w:cantSplit/>
        </w:trPr>
        <w:tc>
          <w:tcPr>
            <w:tcW w:type="dxa" w:w="2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Setelah kelas</w:t>
            </w:r>
          </w:p>
        </w:tc>
        <w:tc>
          <w:tcPr>
            <w:tcW w:type="dxa" w:w="7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Selesaikan tugas tepat waktu sesuai kesepakatan, periksa kembali sumber primer, dan tulis refleksi singkat tentang kesalahan yang kamu pelajari. Dalam pembelajaran ini, kesalahan adalah sumber belajar.</w:t>
            </w:r>
          </w:p>
        </w:tc>
      </w:tr>
    </w:tbl>
    <w:p>
      <w:pPr>
        <w:spacing w:after="160" w:line="200"/>
      </w:pPr>
    </w:p>
    <w:p>
      <w:pPr>
        <w:pStyle w:val="Heading2"/>
        <w:keepNext/>
        <w:spacing w:after="120" w:before="280"/>
      </w:pPr>
      <w:r>
        <w:t xml:space="preserve">Mengenali Kotak-Kotak dalam Modul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cantSplit/>
        </w:trPr>
        <w:tc>
          <w:tcPr>
            <w:tcW w:type="dxa" w:w="2600"/>
            <w:tcBorders>
              <w:top w:val="none" w:color="FFFFFF" w:sz="0"/>
              <w:left w:val="single" w:color="C9832B" w:sz="28"/>
              <w:bottom w:val="single" w:color="FFFFFF" w:sz="6"/>
              <w:right w:val="none" w:color="FFFFFF" w:sz="0"/>
            </w:tcBorders>
            <w:shd w:fill="FDF3E1" w:color="auto" w:val="clear"/>
            <w:tcMar>
              <w:top w:type="dxa" w:w="80"/>
              <w:left w:type="dxa" w:w="160"/>
              <w:bottom w:type="dxa" w:w="80"/>
              <w:right w:type="dxa" w:w="100"/>
            </w:tcMar>
            <w:vAlign w:val="center"/>
          </w:tcPr>
          <w:p>
            <w:r>
              <w:rPr>
                <w:b/>
                <w:bCs/>
                <w:color w:val="C9832B"/>
                <w:sz w:val="21"/>
                <w:szCs w:val="21"/>
              </w:rPr>
              <w:t xml:space="preserve">Pembuka</w:t>
            </w:r>
          </w:p>
        </w:tc>
        <w:tc>
          <w:tcPr>
            <w:tcW w:type="dxa" w:w="6426"/>
            <w:tcBorders>
              <w:top w:val="none" w:color="FFFFFF" w:sz="0"/>
              <w:left w:val="none" w:color="FFFFFF" w:sz="0"/>
              <w:bottom w:val="single" w:color="E3E6EA" w:sz="6"/>
              <w:right w:val="none" w:color="FFFFFF" w:sz="0"/>
            </w:tcBorders>
            <w:tcMar>
              <w:top w:type="dxa" w:w="80"/>
              <w:left w:type="dxa" w:w="160"/>
              <w:bottom w:type="dxa" w:w="80"/>
              <w:right w:type="dxa" w:w="100"/>
            </w:tcMar>
            <w:vAlign w:val="center"/>
          </w:tcPr>
          <w:p>
            <w:r>
              <w:rPr>
                <w:sz w:val="21"/>
                <w:szCs w:val="21"/>
              </w:rPr>
              <w:t xml:space="preserve">Cerita atau teka-teki hukum untuk memancing rasa penasaran.</w:t>
            </w:r>
          </w:p>
        </w:tc>
      </w:tr>
      <w:tr>
        <w:trPr>
          <w:cantSplit/>
        </w:trPr>
        <w:tc>
          <w:tcPr>
            <w:tcW w:type="dxa" w:w="2600"/>
            <w:tcBorders>
              <w:top w:val="none" w:color="FFFFFF" w:sz="0"/>
              <w:left w:val="single" w:color="1F3A5F" w:sz="28"/>
              <w:bottom w:val="single" w:color="FFFFFF" w:sz="6"/>
              <w:right w:val="none" w:color="FFFFFF" w:sz="0"/>
            </w:tcBorders>
            <w:shd w:fill="E9F0F8" w:color="auto" w:val="clear"/>
            <w:tcMar>
              <w:top w:type="dxa" w:w="80"/>
              <w:left w:type="dxa" w:w="160"/>
              <w:bottom w:type="dxa" w:w="80"/>
              <w:right w:type="dxa" w:w="100"/>
            </w:tcMar>
            <w:vAlign w:val="center"/>
          </w:tcPr>
          <w:p>
            <w:r>
              <w:rPr>
                <w:b/>
                <w:bCs/>
                <w:color w:val="1F3A5F"/>
                <w:sz w:val="21"/>
                <w:szCs w:val="21"/>
              </w:rPr>
              <w:t xml:space="preserve">Tujuan Pembelajaran</w:t>
            </w:r>
          </w:p>
        </w:tc>
        <w:tc>
          <w:tcPr>
            <w:tcW w:type="dxa" w:w="6426"/>
            <w:tcBorders>
              <w:top w:val="none" w:color="FFFFFF" w:sz="0"/>
              <w:left w:val="none" w:color="FFFFFF" w:sz="0"/>
              <w:bottom w:val="single" w:color="E3E6EA" w:sz="6"/>
              <w:right w:val="none" w:color="FFFFFF" w:sz="0"/>
            </w:tcBorders>
            <w:tcMar>
              <w:top w:type="dxa" w:w="80"/>
              <w:left w:type="dxa" w:w="160"/>
              <w:bottom w:type="dxa" w:w="80"/>
              <w:right w:type="dxa" w:w="100"/>
            </w:tcMar>
            <w:vAlign w:val="center"/>
          </w:tcPr>
          <w:p>
            <w:r>
              <w:rPr>
                <w:sz w:val="21"/>
                <w:szCs w:val="21"/>
              </w:rPr>
              <w:t xml:space="preserve">Kompetensi yang kamu capai setelah membaca bab.</w:t>
            </w:r>
          </w:p>
        </w:tc>
      </w:tr>
      <w:tr>
        <w:trPr>
          <w:cantSplit/>
        </w:trPr>
        <w:tc>
          <w:tcPr>
            <w:tcW w:type="dxa" w:w="2600"/>
            <w:tcBorders>
              <w:top w:val="none" w:color="FFFFFF" w:sz="0"/>
              <w:left w:val="single" w:color="2E75B6" w:sz="28"/>
              <w:bottom w:val="single" w:color="FFFFFF" w:sz="6"/>
              <w:right w:val="none" w:color="FFFFFF" w:sz="0"/>
            </w:tcBorders>
            <w:shd w:fill="E8F1FA" w:color="auto" w:val="clear"/>
            <w:tcMar>
              <w:top w:type="dxa" w:w="80"/>
              <w:left w:type="dxa" w:w="160"/>
              <w:bottom w:type="dxa" w:w="80"/>
              <w:right w:type="dxa" w:w="100"/>
            </w:tcMar>
            <w:vAlign w:val="center"/>
          </w:tcPr>
          <w:p>
            <w:r>
              <w:rPr>
                <w:b/>
                <w:bCs/>
                <w:color w:val="2E75B6"/>
                <w:sz w:val="21"/>
                <w:szCs w:val="21"/>
              </w:rPr>
              <w:t xml:space="preserve">Kasus</w:t>
            </w:r>
          </w:p>
        </w:tc>
        <w:tc>
          <w:tcPr>
            <w:tcW w:type="dxa" w:w="6426"/>
            <w:tcBorders>
              <w:top w:val="none" w:color="FFFFFF" w:sz="0"/>
              <w:left w:val="none" w:color="FFFFFF" w:sz="0"/>
              <w:bottom w:val="single" w:color="E3E6EA" w:sz="6"/>
              <w:right w:val="none" w:color="FFFFFF" w:sz="0"/>
            </w:tcBorders>
            <w:tcMar>
              <w:top w:type="dxa" w:w="80"/>
              <w:left w:type="dxa" w:w="160"/>
              <w:bottom w:type="dxa" w:w="80"/>
              <w:right w:type="dxa" w:w="100"/>
            </w:tcMar>
            <w:vAlign w:val="center"/>
          </w:tcPr>
          <w:p>
            <w:r>
              <w:rPr>
                <w:sz w:val="21"/>
                <w:szCs w:val="21"/>
              </w:rPr>
              <w:t xml:space="preserve">Putusan atau peristiwa nyata yang dibedah dengan teori.</w:t>
            </w:r>
          </w:p>
        </w:tc>
      </w:tr>
      <w:tr>
        <w:trPr>
          <w:cantSplit/>
        </w:trPr>
        <w:tc>
          <w:tcPr>
            <w:tcW w:type="dxa" w:w="2600"/>
            <w:tcBorders>
              <w:top w:val="none" w:color="FFFFFF" w:sz="0"/>
              <w:left w:val="single" w:color="D4A017" w:sz="28"/>
              <w:bottom w:val="single" w:color="FFFFFF" w:sz="6"/>
              <w:right w:val="none" w:color="FFFFFF" w:sz="0"/>
            </w:tcBorders>
            <w:shd w:fill="FFF8DC" w:color="auto" w:val="clear"/>
            <w:tcMar>
              <w:top w:type="dxa" w:w="80"/>
              <w:left w:type="dxa" w:w="160"/>
              <w:bottom w:type="dxa" w:w="80"/>
              <w:right w:type="dxa" w:w="100"/>
            </w:tcMar>
            <w:vAlign w:val="center"/>
          </w:tcPr>
          <w:p>
            <w:r>
              <w:rPr>
                <w:b/>
                <w:bCs/>
                <w:color w:val="D4A017"/>
                <w:sz w:val="21"/>
                <w:szCs w:val="21"/>
              </w:rPr>
              <w:t xml:space="preserve">Tahukah Kamu?</w:t>
            </w:r>
          </w:p>
        </w:tc>
        <w:tc>
          <w:tcPr>
            <w:tcW w:type="dxa" w:w="6426"/>
            <w:tcBorders>
              <w:top w:val="none" w:color="FFFFFF" w:sz="0"/>
              <w:left w:val="none" w:color="FFFFFF" w:sz="0"/>
              <w:bottom w:val="single" w:color="E3E6EA" w:sz="6"/>
              <w:right w:val="none" w:color="FFFFFF" w:sz="0"/>
            </w:tcBorders>
            <w:tcMar>
              <w:top w:type="dxa" w:w="80"/>
              <w:left w:type="dxa" w:w="160"/>
              <w:bottom w:type="dxa" w:w="80"/>
              <w:right w:type="dxa" w:w="100"/>
            </w:tcMar>
            <w:vAlign w:val="center"/>
          </w:tcPr>
          <w:p>
            <w:r>
              <w:rPr>
                <w:sz w:val="21"/>
                <w:szCs w:val="21"/>
              </w:rPr>
              <w:t xml:space="preserve">Fakta menarik dan sudut pandang tak terduga.</w:t>
            </w:r>
          </w:p>
        </w:tc>
      </w:tr>
      <w:tr>
        <w:trPr>
          <w:cantSplit/>
        </w:trPr>
        <w:tc>
          <w:tcPr>
            <w:tcW w:type="dxa" w:w="2600"/>
            <w:tcBorders>
              <w:top w:val="none" w:color="FFFFFF" w:sz="0"/>
              <w:left w:val="single" w:color="3C8D5A" w:sz="28"/>
              <w:bottom w:val="single" w:color="FFFFFF" w:sz="6"/>
              <w:right w:val="none" w:color="FFFFFF" w:sz="0"/>
            </w:tcBorders>
            <w:shd w:fill="EAF4EC" w:color="auto" w:val="clear"/>
            <w:tcMar>
              <w:top w:type="dxa" w:w="80"/>
              <w:left w:type="dxa" w:w="160"/>
              <w:bottom w:type="dxa" w:w="80"/>
              <w:right w:type="dxa" w:w="100"/>
            </w:tcMar>
            <w:vAlign w:val="center"/>
          </w:tcPr>
          <w:p>
            <w:r>
              <w:rPr>
                <w:b/>
                <w:bCs/>
                <w:color w:val="3C8D5A"/>
                <w:sz w:val="21"/>
                <w:szCs w:val="21"/>
              </w:rPr>
              <w:t xml:space="preserve">Catatan</w:t>
            </w:r>
          </w:p>
        </w:tc>
        <w:tc>
          <w:tcPr>
            <w:tcW w:type="dxa" w:w="6426"/>
            <w:tcBorders>
              <w:top w:val="none" w:color="FFFFFF" w:sz="0"/>
              <w:left w:val="none" w:color="FFFFFF" w:sz="0"/>
              <w:bottom w:val="single" w:color="E3E6EA" w:sz="6"/>
              <w:right w:val="none" w:color="FFFFFF" w:sz="0"/>
            </w:tcBorders>
            <w:tcMar>
              <w:top w:type="dxa" w:w="80"/>
              <w:left w:type="dxa" w:w="160"/>
              <w:bottom w:type="dxa" w:w="80"/>
              <w:right w:type="dxa" w:w="100"/>
            </w:tcMar>
            <w:vAlign w:val="center"/>
          </w:tcPr>
          <w:p>
            <w:r>
              <w:rPr>
                <w:sz w:val="21"/>
                <w:szCs w:val="21"/>
              </w:rPr>
              <w:t xml:space="preserve">Penegasan konsep, pandangan kritis, atau peringatan.</w:t>
            </w:r>
          </w:p>
        </w:tc>
      </w:tr>
      <w:tr>
        <w:trPr>
          <w:cantSplit/>
        </w:trPr>
        <w:tc>
          <w:tcPr>
            <w:tcW w:type="dxa" w:w="2600"/>
            <w:tcBorders>
              <w:top w:val="none" w:color="FFFFFF" w:sz="0"/>
              <w:left w:val="single" w:color="B04A4A" w:sz="28"/>
              <w:bottom w:val="single" w:color="FFFFFF" w:sz="6"/>
              <w:right w:val="none" w:color="FFFFFF" w:sz="0"/>
            </w:tcBorders>
            <w:shd w:fill="FBEFEF" w:color="auto" w:val="clear"/>
            <w:tcMar>
              <w:top w:type="dxa" w:w="80"/>
              <w:left w:type="dxa" w:w="160"/>
              <w:bottom w:type="dxa" w:w="80"/>
              <w:right w:type="dxa" w:w="100"/>
            </w:tcMar>
            <w:vAlign w:val="center"/>
          </w:tcPr>
          <w:p>
            <w:r>
              <w:rPr>
                <w:b/>
                <w:bCs/>
                <w:color w:val="B04A4A"/>
                <w:sz w:val="21"/>
                <w:szCs w:val="21"/>
              </w:rPr>
              <w:t xml:space="preserve">Latihan Diskusi</w:t>
            </w:r>
          </w:p>
        </w:tc>
        <w:tc>
          <w:tcPr>
            <w:tcW w:type="dxa" w:w="6426"/>
            <w:tcBorders>
              <w:top w:val="none" w:color="FFFFFF" w:sz="0"/>
              <w:left w:val="none" w:color="FFFFFF" w:sz="0"/>
              <w:bottom w:val="single" w:color="E3E6EA" w:sz="6"/>
              <w:right w:val="none" w:color="FFFFFF" w:sz="0"/>
            </w:tcBorders>
            <w:tcMar>
              <w:top w:type="dxa" w:w="80"/>
              <w:left w:type="dxa" w:w="160"/>
              <w:bottom w:type="dxa" w:w="80"/>
              <w:right w:type="dxa" w:w="100"/>
            </w:tcMar>
            <w:vAlign w:val="center"/>
          </w:tcPr>
          <w:p>
            <w:r>
              <w:rPr>
                <w:sz w:val="21"/>
                <w:szCs w:val="21"/>
              </w:rPr>
              <w:t xml:space="preserve">Pertanyaan pemantik untuk forum kelas dan tugas.</w:t>
            </w:r>
          </w:p>
        </w:tc>
      </w:tr>
      <w:tr>
        <w:trPr>
          <w:cantSplit/>
        </w:trPr>
        <w:tc>
          <w:tcPr>
            <w:tcW w:type="dxa" w:w="2600"/>
            <w:tcBorders>
              <w:top w:val="none" w:color="FFFFFF" w:sz="0"/>
              <w:left w:val="single" w:color="2A8C8C" w:sz="28"/>
              <w:bottom w:val="single" w:color="FFFFFF" w:sz="6"/>
              <w:right w:val="none" w:color="FFFFFF" w:sz="0"/>
            </w:tcBorders>
            <w:shd w:fill="EAF6F6" w:color="auto" w:val="clear"/>
            <w:tcMar>
              <w:top w:type="dxa" w:w="80"/>
              <w:left w:type="dxa" w:w="160"/>
              <w:bottom w:type="dxa" w:w="80"/>
              <w:right w:type="dxa" w:w="100"/>
            </w:tcMar>
            <w:vAlign w:val="center"/>
          </w:tcPr>
          <w:p>
            <w:r>
              <w:rPr>
                <w:b/>
                <w:bCs/>
                <w:color w:val="2A8C8C"/>
                <w:sz w:val="21"/>
                <w:szCs w:val="21"/>
              </w:rPr>
              <w:t xml:space="preserve">Aktivitas Kelas</w:t>
            </w:r>
          </w:p>
        </w:tc>
        <w:tc>
          <w:tcPr>
            <w:tcW w:type="dxa" w:w="6426"/>
            <w:tcBorders>
              <w:top w:val="none" w:color="FFFFFF" w:sz="0"/>
              <w:left w:val="none" w:color="FFFFFF" w:sz="0"/>
              <w:bottom w:val="single" w:color="E3E6EA" w:sz="6"/>
              <w:right w:val="none" w:color="FFFFFF" w:sz="0"/>
            </w:tcBorders>
            <w:tcMar>
              <w:top w:type="dxa" w:w="80"/>
              <w:left w:type="dxa" w:w="160"/>
              <w:bottom w:type="dxa" w:w="80"/>
              <w:right w:type="dxa" w:w="100"/>
            </w:tcMar>
            <w:vAlign w:val="center"/>
          </w:tcPr>
          <w:p>
            <w:r>
              <w:rPr>
                <w:sz w:val="21"/>
                <w:szCs w:val="21"/>
              </w:rPr>
              <w:t xml:space="preserve">Simulasi, debat, atau studi kasus kelompok.</w:t>
            </w:r>
          </w:p>
        </w:tc>
      </w:tr>
      <w:tr>
        <w:trPr>
          <w:cantSplit/>
        </w:trPr>
        <w:tc>
          <w:tcPr>
            <w:tcW w:type="dxa" w:w="2600"/>
            <w:tcBorders>
              <w:top w:val="none" w:color="FFFFFF" w:sz="0"/>
              <w:left w:val="single" w:color="7A5CB8" w:sz="28"/>
              <w:bottom w:val="single" w:color="FFFFFF" w:sz="6"/>
              <w:right w:val="none" w:color="FFFFFF" w:sz="0"/>
            </w:tcBorders>
            <w:shd w:fill="F1ECFA" w:color="auto" w:val="clear"/>
            <w:tcMar>
              <w:top w:type="dxa" w:w="80"/>
              <w:left w:type="dxa" w:w="160"/>
              <w:bottom w:type="dxa" w:w="80"/>
              <w:right w:type="dxa" w:w="100"/>
            </w:tcMar>
            <w:vAlign w:val="center"/>
          </w:tcPr>
          <w:p>
            <w:r>
              <w:rPr>
                <w:b/>
                <w:bCs/>
                <w:color w:val="7A5CB8"/>
                <w:sz w:val="21"/>
                <w:szCs w:val="21"/>
              </w:rPr>
              <w:t xml:space="preserve">Belajar Bersama AI</w:t>
            </w:r>
          </w:p>
        </w:tc>
        <w:tc>
          <w:tcPr>
            <w:tcW w:type="dxa" w:w="6426"/>
            <w:tcBorders>
              <w:top w:val="none" w:color="FFFFFF" w:sz="0"/>
              <w:left w:val="none" w:color="FFFFFF" w:sz="0"/>
              <w:bottom w:val="single" w:color="E3E6EA" w:sz="6"/>
              <w:right w:val="none" w:color="FFFFFF" w:sz="0"/>
            </w:tcBorders>
            <w:tcMar>
              <w:top w:type="dxa" w:w="80"/>
              <w:left w:type="dxa" w:w="160"/>
              <w:bottom w:type="dxa" w:w="80"/>
              <w:right w:type="dxa" w:w="100"/>
            </w:tcMar>
            <w:vAlign w:val="center"/>
          </w:tcPr>
          <w:p>
            <w:r>
              <w:rPr>
                <w:sz w:val="21"/>
                <w:szCs w:val="21"/>
              </w:rPr>
              <w:t xml:space="preserve">Contoh perintah (prompt) agar AI menjadi mitra belajar.</w:t>
            </w:r>
          </w:p>
        </w:tc>
      </w:tr>
    </w:tbl>
    <w:p>
      <w:pPr>
        <w:spacing w:after="160" w:line="200"/>
      </w:pPr>
    </w:p>
    <w:p>
      <w:pPr>
        <w:pStyle w:val="Heading1"/>
        <w:keepNext/>
        <w:pBdr>
          <w:bottom w:val="single" w:color="B8892B" w:sz="12" w:space="6"/>
        </w:pBdr>
        <w:spacing w:after="100"/>
      </w:pPr>
      <w:r>
        <w:t xml:space="preserve">Kontrak Belajar dan Penilaian</w:t>
      </w:r>
    </w:p>
    <w:p>
      <w:pPr>
        <w:pStyle w:val="Heading2"/>
        <w:keepNext/>
        <w:spacing w:after="120" w:before="280"/>
      </w:pPr>
      <w:r>
        <w:t xml:space="preserve">Komitmen Awal</w:t>
      </w:r>
    </w:p>
    <w:p>
      <w:pPr>
        <w:pStyle w:val="ListParagraph"/>
        <w:numPr>
          <w:ilvl w:val="0"/>
          <w:numId w:val="2"/>
        </w:numPr>
        <w:spacing w:after="80" w:line="290"/>
        <w:jc w:val="left"/>
      </w:pPr>
      <w:r>
        <w:rPr>
          <w:sz w:val="22"/>
          <w:szCs w:val="22"/>
        </w:rPr>
        <w:t xml:space="preserve">Kehadiran minimal 75 persen dari seluruh pertemuan.</w:t>
      </w:r>
    </w:p>
    <w:p>
      <w:pPr>
        <w:pStyle w:val="ListParagraph"/>
        <w:numPr>
          <w:ilvl w:val="0"/>
          <w:numId w:val="2"/>
        </w:numPr>
        <w:spacing w:after="80" w:line="290"/>
        <w:jc w:val="left"/>
      </w:pPr>
      <w:r>
        <w:rPr>
          <w:sz w:val="22"/>
          <w:szCs w:val="22"/>
        </w:rPr>
        <w:t xml:space="preserve">Keterlambatan maksimal 30 menit.</w:t>
      </w:r>
    </w:p>
    <w:p>
      <w:pPr>
        <w:pStyle w:val="ListParagraph"/>
        <w:numPr>
          <w:ilvl w:val="0"/>
          <w:numId w:val="2"/>
        </w:numPr>
        <w:spacing w:after="80" w:line="290"/>
        <w:jc w:val="left"/>
      </w:pPr>
      <w:r>
        <w:rPr>
          <w:sz w:val="22"/>
          <w:szCs w:val="22"/>
        </w:rPr>
        <w:t xml:space="preserve">Bersikap dan berpakaian sopan.</w:t>
      </w:r>
    </w:p>
    <w:p>
      <w:pPr>
        <w:pStyle w:val="ListParagraph"/>
        <w:numPr>
          <w:ilvl w:val="0"/>
          <w:numId w:val="2"/>
        </w:numPr>
        <w:spacing w:after="80" w:line="290"/>
        <w:jc w:val="left"/>
      </w:pPr>
      <w:r>
        <w:rPr>
          <w:sz w:val="22"/>
          <w:szCs w:val="22"/>
        </w:rPr>
        <w:t xml:space="preserve">Menyiapkan bahan diskusi untuk pertemuan atau kuliah pada minggu berikutnya.</w:t>
      </w:r>
    </w:p>
    <w:p>
      <w:pPr>
        <w:pStyle w:val="ListParagraph"/>
        <w:numPr>
          <w:ilvl w:val="0"/>
          <w:numId w:val="2"/>
        </w:numPr>
        <w:spacing w:after="80" w:line="290"/>
        <w:jc w:val="left"/>
      </w:pPr>
      <w:r>
        <w:rPr>
          <w:sz w:val="22"/>
          <w:szCs w:val="22"/>
        </w:rPr>
        <w:t xml:space="preserve">Forum diskusi dibuka setelah ada instruksi dosen.</w:t>
      </w:r>
    </w:p>
    <w:p>
      <w:pPr>
        <w:pStyle w:val="ListParagraph"/>
        <w:numPr>
          <w:ilvl w:val="0"/>
          <w:numId w:val="2"/>
        </w:numPr>
        <w:spacing w:after="80" w:line="290"/>
        <w:jc w:val="left"/>
      </w:pPr>
      <w:r>
        <w:rPr>
          <w:sz w:val="22"/>
          <w:szCs w:val="22"/>
        </w:rPr>
        <w:t xml:space="preserve">Menyelesaikan tugas pada waktunya sesuai kesepakatan.</w:t>
      </w:r>
    </w:p>
    <w:p>
      <w:pPr>
        <w:spacing w:after="80" w:line="200"/>
      </w:pPr>
    </w:p>
    <w:p>
      <w:pPr>
        <w:pStyle w:val="Heading2"/>
        <w:keepNext/>
        <w:spacing w:after="120" w:before="280"/>
      </w:pPr>
      <w:r>
        <w:t xml:space="preserve">Komponen Penilaian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1200"/>
        <w:gridCol w:w="5626"/>
      </w:tblGrid>
      <w:tr>
        <w:trPr>
          <w:cantSplit/>
          <w:tblHeader/>
        </w:trPr>
        <w:tc>
          <w:tcPr>
            <w:tcW w:type="dxa" w:w="22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Komponen</w:t>
            </w:r>
          </w:p>
        </w:tc>
        <w:tc>
          <w:tcPr>
            <w:tcW w:type="dxa" w:w="12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Bobot</w:t>
            </w:r>
          </w:p>
        </w:tc>
        <w:tc>
          <w:tcPr>
            <w:tcW w:type="dxa" w:w="56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Keterangan</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Absensi</w:t>
            </w:r>
          </w:p>
        </w:tc>
        <w:tc>
          <w:tcPr>
            <w:tcW w:type="dxa" w:w="1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20%</w:t>
            </w:r>
          </w:p>
        </w:tc>
        <w:tc>
          <w:tcPr>
            <w:tcW w:type="dxa" w:w="56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Kehadiran dan ketepatan waktu</w:t>
            </w:r>
          </w:p>
        </w:tc>
      </w:tr>
      <w:tr>
        <w:trPr>
          <w:cantSplit/>
        </w:trPr>
        <w:tc>
          <w:tcPr>
            <w:tcW w:type="dxa" w:w="2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Soft skill</w:t>
            </w:r>
          </w:p>
        </w:tc>
        <w:tc>
          <w:tcPr>
            <w:tcW w:type="dxa" w:w="1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15%</w:t>
            </w:r>
          </w:p>
        </w:tc>
        <w:tc>
          <w:tcPr>
            <w:tcW w:type="dxa" w:w="56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Partisipasi diskusi, debat, kerja sama tim, etika akademik</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Tugas</w:t>
            </w:r>
          </w:p>
        </w:tc>
        <w:tc>
          <w:tcPr>
            <w:tcW w:type="dxa" w:w="1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15%</w:t>
            </w:r>
          </w:p>
        </w:tc>
        <w:tc>
          <w:tcPr>
            <w:tcW w:type="dxa" w:w="56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Analisis kasus, makalah singkat, dan tugas bab</w:t>
            </w:r>
          </w:p>
        </w:tc>
      </w:tr>
      <w:tr>
        <w:trPr>
          <w:cantSplit/>
        </w:trPr>
        <w:tc>
          <w:tcPr>
            <w:tcW w:type="dxa" w:w="2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UTS</w:t>
            </w:r>
          </w:p>
        </w:tc>
        <w:tc>
          <w:tcPr>
            <w:tcW w:type="dxa" w:w="1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25%</w:t>
            </w:r>
          </w:p>
        </w:tc>
        <w:tc>
          <w:tcPr>
            <w:tcW w:type="dxa" w:w="56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Bab 1 sampai 7 (Pertemuan 1-7)</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UAS</w:t>
            </w:r>
          </w:p>
        </w:tc>
        <w:tc>
          <w:tcPr>
            <w:tcW w:type="dxa" w:w="1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25%</w:t>
            </w:r>
          </w:p>
        </w:tc>
        <w:tc>
          <w:tcPr>
            <w:tcW w:type="dxa" w:w="56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Bab 8 sampai 14 (Pertemuan 9-15), dengan soal integratif</w:t>
            </w:r>
          </w:p>
        </w:tc>
      </w:tr>
    </w:tbl>
    <w:p>
      <w:pPr>
        <w:spacing w:after="160" w:line="200"/>
      </w:pPr>
    </w:p>
    <w:p>
      <w:pPr>
        <w:pStyle w:val="Heading2"/>
        <w:keepNext/>
        <w:spacing w:after="120" w:before="280"/>
      </w:pPr>
      <w:r>
        <w:t xml:space="preserve">Peta Modul</w:t>
      </w:r>
    </w:p>
    <w:p>
      <w:pPr>
        <w:spacing w:after="120" w:before="0" w:line="300"/>
        <w:jc w:val="both"/>
      </w:pPr>
      <w:r>
        <w:rPr>
          <w:sz w:val="22"/>
          <w:szCs w:val="22"/>
        </w:rPr>
        <w:t xml:space="preserve">Tabel berikut memetakan enam belas pertemuan pada kontrak perkuliahan dengan bab-bab dalam modul ini.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50"/>
        <w:gridCol w:w="3200"/>
        <w:gridCol w:w="1450"/>
        <w:gridCol w:w="3026"/>
      </w:tblGrid>
      <w:tr>
        <w:trPr>
          <w:cantSplit/>
          <w:tblHeader/>
        </w:trPr>
        <w:tc>
          <w:tcPr>
            <w:tcW w:type="dxa" w:w="135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Pertemuan</w:t>
            </w:r>
          </w:p>
        </w:tc>
        <w:tc>
          <w:tcPr>
            <w:tcW w:type="dxa" w:w="32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Pokok Bahasan</w:t>
            </w:r>
          </w:p>
        </w:tc>
        <w:tc>
          <w:tcPr>
            <w:tcW w:type="dxa" w:w="145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Bagian Modul</w:t>
            </w:r>
          </w:p>
        </w:tc>
        <w:tc>
          <w:tcPr>
            <w:tcW w:type="dxa" w:w="30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Fokus</w:t>
            </w:r>
          </w:p>
        </w:tc>
      </w:tr>
      <w:tr>
        <w:trPr>
          <w:cantSplit/>
        </w:trPr>
        <w:tc>
          <w:tcPr>
            <w:tcW w:type="dxa" w:w="13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w:t>
            </w:r>
          </w:p>
        </w:tc>
        <w:tc>
          <w:tcPr>
            <w:tcW w:type="dxa" w:w="3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Pengantar Hukum Internasional</w:t>
            </w:r>
          </w:p>
        </w:tc>
        <w:tc>
          <w:tcPr>
            <w:tcW w:type="dxa" w:w="14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Bab 1</w:t>
            </w:r>
          </w:p>
        </w:tc>
        <w:tc>
          <w:tcPr>
            <w:tcW w:type="dxa" w:w="3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Konsep, karakteristik, ketaatan, dasar mengikat</w:t>
            </w:r>
          </w:p>
        </w:tc>
      </w:tr>
      <w:tr>
        <w:trPr>
          <w:cantSplit/>
        </w:trPr>
        <w:tc>
          <w:tcPr>
            <w:tcW w:type="dxa" w:w="13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2</w:t>
            </w:r>
          </w:p>
        </w:tc>
        <w:tc>
          <w:tcPr>
            <w:tcW w:type="dxa" w:w="3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Sejarah dan Perkembangan Hukum Internasional</w:t>
            </w:r>
          </w:p>
        </w:tc>
        <w:tc>
          <w:tcPr>
            <w:tcW w:type="dxa" w:w="14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Bab 2</w:t>
            </w:r>
          </w:p>
        </w:tc>
        <w:tc>
          <w:tcPr>
            <w:tcW w:type="dxa" w:w="3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Periodisasi, Westphalia, PBB, dekolonisasi, peran Indonesia</w:t>
            </w:r>
          </w:p>
        </w:tc>
      </w:tr>
      <w:tr>
        <w:trPr>
          <w:cantSplit/>
        </w:trPr>
        <w:tc>
          <w:tcPr>
            <w:tcW w:type="dxa" w:w="13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3</w:t>
            </w:r>
          </w:p>
        </w:tc>
        <w:tc>
          <w:tcPr>
            <w:tcW w:type="dxa" w:w="3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Sumber Hukum Internasional</w:t>
            </w:r>
          </w:p>
        </w:tc>
        <w:tc>
          <w:tcPr>
            <w:tcW w:type="dxa" w:w="14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Bab 3</w:t>
            </w:r>
          </w:p>
        </w:tc>
        <w:tc>
          <w:tcPr>
            <w:tcW w:type="dxa" w:w="3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Pasal 38 Statuta ICJ, kebiasaan, jus cogens</w:t>
            </w:r>
          </w:p>
        </w:tc>
      </w:tr>
      <w:tr>
        <w:trPr>
          <w:cantSplit/>
        </w:trPr>
        <w:tc>
          <w:tcPr>
            <w:tcW w:type="dxa" w:w="13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4</w:t>
            </w:r>
          </w:p>
        </w:tc>
        <w:tc>
          <w:tcPr>
            <w:tcW w:type="dxa" w:w="3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Subjek Hukum Internasional</w:t>
            </w:r>
          </w:p>
        </w:tc>
        <w:tc>
          <w:tcPr>
            <w:tcW w:type="dxa" w:w="14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Bab 4</w:t>
            </w:r>
          </w:p>
        </w:tc>
        <w:tc>
          <w:tcPr>
            <w:tcW w:type="dxa" w:w="3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Negara, organisasi internasional, individu, aktor non-negara</w:t>
            </w:r>
          </w:p>
        </w:tc>
      </w:tr>
      <w:tr>
        <w:trPr>
          <w:cantSplit/>
        </w:trPr>
        <w:tc>
          <w:tcPr>
            <w:tcW w:type="dxa" w:w="13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5</w:t>
            </w:r>
          </w:p>
        </w:tc>
        <w:tc>
          <w:tcPr>
            <w:tcW w:type="dxa" w:w="3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Negara, Kedaulatan, dan Pengakuan</w:t>
            </w:r>
          </w:p>
        </w:tc>
        <w:tc>
          <w:tcPr>
            <w:tcW w:type="dxa" w:w="14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Bab 5</w:t>
            </w:r>
          </w:p>
        </w:tc>
        <w:tc>
          <w:tcPr>
            <w:tcW w:type="dxa" w:w="3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Montevideo, kedaulatan, pengakuan, suksesi</w:t>
            </w:r>
          </w:p>
        </w:tc>
      </w:tr>
      <w:tr>
        <w:trPr>
          <w:cantSplit/>
        </w:trPr>
        <w:tc>
          <w:tcPr>
            <w:tcW w:type="dxa" w:w="13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6</w:t>
            </w:r>
          </w:p>
        </w:tc>
        <w:tc>
          <w:tcPr>
            <w:tcW w:type="dxa" w:w="3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Hubungan Hukum Internasional dan Hukum Nasional</w:t>
            </w:r>
          </w:p>
        </w:tc>
        <w:tc>
          <w:tcPr>
            <w:tcW w:type="dxa" w:w="14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Bab 6</w:t>
            </w:r>
          </w:p>
        </w:tc>
        <w:tc>
          <w:tcPr>
            <w:tcW w:type="dxa" w:w="3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Monisme, dualisme, praktik Indonesia</w:t>
            </w:r>
          </w:p>
        </w:tc>
      </w:tr>
      <w:tr>
        <w:trPr>
          <w:cantSplit/>
        </w:trPr>
        <w:tc>
          <w:tcPr>
            <w:tcW w:type="dxa" w:w="13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7</w:t>
            </w:r>
          </w:p>
        </w:tc>
        <w:tc>
          <w:tcPr>
            <w:tcW w:type="dxa" w:w="3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Perjanjian Internasional</w:t>
            </w:r>
          </w:p>
        </w:tc>
        <w:tc>
          <w:tcPr>
            <w:tcW w:type="dxa" w:w="14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Bab 7</w:t>
            </w:r>
          </w:p>
        </w:tc>
        <w:tc>
          <w:tcPr>
            <w:tcW w:type="dxa" w:w="3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VCLT 1969, ratifikasi, reservasi, berakhirnya perjanjian</w:t>
            </w:r>
          </w:p>
        </w:tc>
      </w:tr>
      <w:tr>
        <w:trPr>
          <w:cantSplit/>
        </w:trPr>
        <w:tc>
          <w:tcPr>
            <w:tcW w:type="dxa" w:w="13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8</w:t>
            </w:r>
          </w:p>
        </w:tc>
        <w:tc>
          <w:tcPr>
            <w:tcW w:type="dxa" w:w="3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Ujian Tengah Semester (UTS)</w:t>
            </w:r>
          </w:p>
        </w:tc>
        <w:tc>
          <w:tcPr>
            <w:tcW w:type="dxa" w:w="14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Panduan UTS</w:t>
            </w:r>
          </w:p>
        </w:tc>
        <w:tc>
          <w:tcPr>
            <w:tcW w:type="dxa" w:w="3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Bab 1 sampai 7</w:t>
            </w:r>
          </w:p>
        </w:tc>
      </w:tr>
      <w:tr>
        <w:trPr>
          <w:cantSplit/>
        </w:trPr>
        <w:tc>
          <w:tcPr>
            <w:tcW w:type="dxa" w:w="13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9</w:t>
            </w:r>
          </w:p>
        </w:tc>
        <w:tc>
          <w:tcPr>
            <w:tcW w:type="dxa" w:w="3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Yurisdiksi Negara</w:t>
            </w:r>
          </w:p>
        </w:tc>
        <w:tc>
          <w:tcPr>
            <w:tcW w:type="dxa" w:w="14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Bab 8</w:t>
            </w:r>
          </w:p>
        </w:tc>
        <w:tc>
          <w:tcPr>
            <w:tcW w:type="dxa" w:w="3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Prinsip yurisdiksi, imunitas, ekstradisi</w:t>
            </w:r>
          </w:p>
        </w:tc>
      </w:tr>
      <w:tr>
        <w:trPr>
          <w:cantSplit/>
        </w:trPr>
        <w:tc>
          <w:tcPr>
            <w:tcW w:type="dxa" w:w="13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10</w:t>
            </w:r>
          </w:p>
        </w:tc>
        <w:tc>
          <w:tcPr>
            <w:tcW w:type="dxa" w:w="3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Tanggung Jawab Negara</w:t>
            </w:r>
          </w:p>
        </w:tc>
        <w:tc>
          <w:tcPr>
            <w:tcW w:type="dxa" w:w="14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Bab 9</w:t>
            </w:r>
          </w:p>
        </w:tc>
        <w:tc>
          <w:tcPr>
            <w:tcW w:type="dxa" w:w="3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ARSIWA, atribusi, reparasi</w:t>
            </w:r>
          </w:p>
        </w:tc>
      </w:tr>
      <w:tr>
        <w:trPr>
          <w:cantSplit/>
        </w:trPr>
        <w:tc>
          <w:tcPr>
            <w:tcW w:type="dxa" w:w="13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11</w:t>
            </w:r>
          </w:p>
        </w:tc>
        <w:tc>
          <w:tcPr>
            <w:tcW w:type="dxa" w:w="3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Penyelesaian Sengketa Internasional</w:t>
            </w:r>
          </w:p>
        </w:tc>
        <w:tc>
          <w:tcPr>
            <w:tcW w:type="dxa" w:w="14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Bab 10</w:t>
            </w:r>
          </w:p>
        </w:tc>
        <w:tc>
          <w:tcPr>
            <w:tcW w:type="dxa" w:w="3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Pasal 33 Piagam PBB, ICJ, arbitrase</w:t>
            </w:r>
          </w:p>
        </w:tc>
      </w:tr>
      <w:tr>
        <w:trPr>
          <w:cantSplit/>
        </w:trPr>
        <w:tc>
          <w:tcPr>
            <w:tcW w:type="dxa" w:w="13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12</w:t>
            </w:r>
          </w:p>
        </w:tc>
        <w:tc>
          <w:tcPr>
            <w:tcW w:type="dxa" w:w="3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Hukum Laut Internasional</w:t>
            </w:r>
          </w:p>
        </w:tc>
        <w:tc>
          <w:tcPr>
            <w:tcW w:type="dxa" w:w="14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Bab 11</w:t>
            </w:r>
          </w:p>
        </w:tc>
        <w:tc>
          <w:tcPr>
            <w:tcW w:type="dxa" w:w="3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UNCLOS 1982, zona maritim, negara kepulauan</w:t>
            </w:r>
          </w:p>
        </w:tc>
      </w:tr>
      <w:tr>
        <w:trPr>
          <w:cantSplit/>
        </w:trPr>
        <w:tc>
          <w:tcPr>
            <w:tcW w:type="dxa" w:w="13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13</w:t>
            </w:r>
          </w:p>
        </w:tc>
        <w:tc>
          <w:tcPr>
            <w:tcW w:type="dxa" w:w="3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Hukum Internasional dan Perubahan Iklim</w:t>
            </w:r>
          </w:p>
        </w:tc>
        <w:tc>
          <w:tcPr>
            <w:tcW w:type="dxa" w:w="14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Bab 12</w:t>
            </w:r>
          </w:p>
        </w:tc>
        <w:tc>
          <w:tcPr>
            <w:tcW w:type="dxa" w:w="3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UNFCCC, Persetujuan Paris, litigasi iklim</w:t>
            </w:r>
          </w:p>
        </w:tc>
      </w:tr>
      <w:tr>
        <w:trPr>
          <w:cantSplit/>
        </w:trPr>
        <w:tc>
          <w:tcPr>
            <w:tcW w:type="dxa" w:w="13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14</w:t>
            </w:r>
          </w:p>
        </w:tc>
        <w:tc>
          <w:tcPr>
            <w:tcW w:type="dxa" w:w="3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HAM, Konflik Bersenjata, dan IHL</w:t>
            </w:r>
          </w:p>
        </w:tc>
        <w:tc>
          <w:tcPr>
            <w:tcW w:type="dxa" w:w="14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Bab 13</w:t>
            </w:r>
          </w:p>
        </w:tc>
        <w:tc>
          <w:tcPr>
            <w:tcW w:type="dxa" w:w="3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DUHAM, Konvensi Jenewa, ICC</w:t>
            </w:r>
          </w:p>
        </w:tc>
      </w:tr>
      <w:tr>
        <w:trPr>
          <w:cantSplit/>
        </w:trPr>
        <w:tc>
          <w:tcPr>
            <w:tcW w:type="dxa" w:w="13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15</w:t>
            </w:r>
          </w:p>
        </w:tc>
        <w:tc>
          <w:tcPr>
            <w:tcW w:type="dxa" w:w="3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Hukum Internasional di Era Digital</w:t>
            </w:r>
          </w:p>
        </w:tc>
        <w:tc>
          <w:tcPr>
            <w:tcW w:type="dxa" w:w="145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Bab 14</w:t>
            </w:r>
          </w:p>
        </w:tc>
        <w:tc>
          <w:tcPr>
            <w:tcW w:type="dxa" w:w="3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Siber, data, AI, senjata otonom</w:t>
            </w:r>
          </w:p>
        </w:tc>
      </w:tr>
      <w:tr>
        <w:trPr>
          <w:cantSplit/>
        </w:trPr>
        <w:tc>
          <w:tcPr>
            <w:tcW w:type="dxa" w:w="13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16</w:t>
            </w:r>
          </w:p>
        </w:tc>
        <w:tc>
          <w:tcPr>
            <w:tcW w:type="dxa" w:w="3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Ujian Akhir Semester (UAS)</w:t>
            </w:r>
          </w:p>
        </w:tc>
        <w:tc>
          <w:tcPr>
            <w:tcW w:type="dxa" w:w="145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Panduan UAS</w:t>
            </w:r>
          </w:p>
        </w:tc>
        <w:tc>
          <w:tcPr>
            <w:tcW w:type="dxa" w:w="3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Bab 8 sampai 14 dan integrasi</w:t>
            </w:r>
          </w:p>
        </w:tc>
      </w:tr>
    </w:tbl>
    <w:p>
      <w:pPr>
        <w:spacing w:after="160" w:line="200"/>
      </w:pPr>
    </w:p>
    <w:p>
      <w:pPr>
        <w:keepNext/>
        <w:pageBreakBefore/>
        <w:spacing w:after="60"/>
      </w:pPr>
      <w:r>
        <w:rPr>
          <w:rFonts w:ascii="Calibri" w:cs="Calibri" w:eastAsia="Calibri" w:hAnsi="Calibri"/>
          <w:b/>
          <w:bCs/>
          <w:color w:val="B8892B"/>
          <w:spacing w:val="60"/>
          <w:sz w:val="22"/>
          <w:szCs w:val="22"/>
        </w:rPr>
        <w:t xml:space="preserve">BAB 1   |   PERTEMUAN 1</w:t>
      </w:r>
    </w:p>
    <w:p>
      <w:pPr>
        <w:pStyle w:val="Heading1"/>
        <w:keepNext/>
        <w:pBdr>
          <w:bottom w:val="single" w:color="B8892B" w:sz="12" w:space="6"/>
        </w:pBdr>
        <w:spacing w:after="100"/>
      </w:pPr>
      <w:r>
        <w:t xml:space="preserve">Ketika Tak Ada Polisi Dunia</w:t>
      </w:r>
    </w:p>
    <w:p>
      <w:pPr>
        <w:spacing w:after="200"/>
      </w:pPr>
      <w:r>
        <w:rPr>
          <w:rFonts w:ascii="Cambria" w:cs="Cambria" w:eastAsia="Cambria" w:hAnsi="Cambria"/>
          <w:i/>
          <w:iCs/>
          <w:color w:val="595959"/>
          <w:sz w:val="26"/>
          <w:szCs w:val="26"/>
        </w:rPr>
        <w:t xml:space="preserve">Pengantar Hukum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Bayangkan Kasus Ini</w:t>
            </w:r>
          </w:p>
          <w:p>
            <w:pPr>
              <w:spacing w:after="80" w:before="0" w:line="290"/>
              <w:jc w:val="left"/>
            </w:pPr>
            <w:r>
              <w:rPr>
                <w:sz w:val="21"/>
                <w:szCs w:val="21"/>
              </w:rPr>
              <w:t xml:space="preserve">Pukul dua dini hari, sebuah kapal ikan berbendera Indonesia ditahan di perairan dekat perbatasan. Awaknya warga negara Indonesia, pemiliknya warga negara asing, dan hasil tangkapannya dijual di pelabuhan negara ketiga. Undang-undang siapa yang berlaku? Pengadilan mana yang berwenang? Dan kalau salah satu pihak menolak putusan, siapa yang bisa memaksa? Di dalam negeri, pertanyaan terakhir mudah dijawab: ada polisi, jaksa, dan hakim. Di panggung dunia, tidak ada satu pun aparat yang berdiri di atas semua negara. Lalu, apakah hukum internasional itu sungguh ada? Bab ini mengajakmu menjawabnya.</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pengertian, ruang lingkup, dan karakteristik hukum internasional;</w:t>
            </w:r>
          </w:p>
          <w:p>
            <w:pPr>
              <w:pStyle w:val="ListParagraph"/>
              <w:numPr>
                <w:ilvl w:val="0"/>
                <w:numId w:val="2"/>
              </w:numPr>
              <w:spacing w:after="80" w:line="290"/>
              <w:jc w:val="left"/>
            </w:pPr>
            <w:r>
              <w:rPr>
                <w:sz w:val="21"/>
                <w:szCs w:val="21"/>
              </w:rPr>
              <w:t xml:space="preserve">membedakan hukum internasional publik dari hukum perdata internasional;</w:t>
            </w:r>
          </w:p>
          <w:p>
            <w:pPr>
              <w:pStyle w:val="ListParagraph"/>
              <w:numPr>
                <w:ilvl w:val="0"/>
                <w:numId w:val="2"/>
              </w:numPr>
              <w:spacing w:after="80" w:line="290"/>
              <w:jc w:val="left"/>
            </w:pPr>
            <w:r>
              <w:rPr>
                <w:sz w:val="21"/>
                <w:szCs w:val="21"/>
              </w:rPr>
              <w:t xml:space="preserve">menganalisis perdebatan "apakah hukum internasional benar-benar hukum" beserta alasan negara menaatinya;</w:t>
            </w:r>
          </w:p>
          <w:p>
            <w:pPr>
              <w:pStyle w:val="ListParagraph"/>
              <w:numPr>
                <w:ilvl w:val="0"/>
                <w:numId w:val="2"/>
              </w:numPr>
              <w:spacing w:after="80" w:line="290"/>
              <w:jc w:val="left"/>
            </w:pPr>
            <w:r>
              <w:rPr>
                <w:sz w:val="21"/>
                <w:szCs w:val="21"/>
              </w:rPr>
              <w:t xml:space="preserve">menjelaskan dasar mengikat, fungsi, dan cabang-cabang hukum internasional.</w:t>
            </w:r>
          </w:p>
        </w:tc>
      </w:tr>
    </w:tbl>
    <w:p>
      <w:pPr>
        <w:spacing w:after="160" w:line="200"/>
      </w:pPr>
    </w:p>
    <w:p>
      <w:pPr>
        <w:pStyle w:val="Heading2"/>
        <w:keepNext/>
        <w:spacing w:after="120" w:before="280"/>
      </w:pPr>
      <w:r>
        <w:t xml:space="preserve">A. Apa Sebenarnya Hukum Internasional Itu?</w:t>
      </w:r>
    </w:p>
    <w:p>
      <w:pPr>
        <w:spacing w:after="140" w:before="0" w:line="300"/>
        <w:jc w:val="both"/>
      </w:pPr>
      <w:r>
        <w:rPr>
          <w:sz w:val="22"/>
          <w:szCs w:val="22"/>
        </w:rPr>
        <w:t xml:space="preserve">Secara sederhana, hukum internasional adalah kumpulan kaidah dan asas yang mengatur hubungan yang melintasi batas negara. Mochtar Kusumaatmadja, salah satu begawan hukum internasional Indonesia, merumuskan hukum internasional publik sebagai keseluruhan kaidah dan asas yang mengatur hubungan atau persoalan lintas batas antara negara dengan negara, serta antara negara dengan subjek hukum lain yang bukan negara. Para penulis lain, seperti J.G. Starke dan Malcolm N. Shaw, memberi rumusan dengan penekanan berbeda, tetapi semuanya bermuara pada tiga hal: </w:t>
      </w:r>
      <w:r>
        <w:rPr>
          <w:b/>
          <w:bCs/>
          <w:sz w:val="22"/>
          <w:szCs w:val="22"/>
        </w:rPr>
        <w:t xml:space="preserve">ada kaidah</w:t>
      </w:r>
      <w:r>
        <w:rPr>
          <w:sz w:val="22"/>
          <w:szCs w:val="22"/>
        </w:rPr>
        <w:t xml:space="preserve">, </w:t>
      </w:r>
      <w:r>
        <w:rPr>
          <w:b/>
          <w:bCs/>
          <w:sz w:val="22"/>
          <w:szCs w:val="22"/>
        </w:rPr>
        <w:t xml:space="preserve">ada subjek yang terikat</w:t>
      </w:r>
      <w:r>
        <w:rPr>
          <w:sz w:val="22"/>
          <w:szCs w:val="22"/>
        </w:rPr>
        <w:t xml:space="preserve">, dan </w:t>
      </w:r>
      <w:r>
        <w:rPr>
          <w:b/>
          <w:bCs/>
          <w:sz w:val="22"/>
          <w:szCs w:val="22"/>
        </w:rPr>
        <w:t xml:space="preserve">ada unsur lintas batas</w:t>
      </w:r>
      <w:r>
        <w:rPr>
          <w:sz w:val="22"/>
          <w:szCs w:val="22"/>
        </w:rPr>
        <w:t xml:space="preserve">.</w:t>
      </w:r>
    </w:p>
    <w:p>
      <w:pPr>
        <w:spacing w:after="140" w:before="0" w:line="300"/>
        <w:jc w:val="both"/>
      </w:pPr>
      <w:r>
        <w:rPr>
          <w:sz w:val="22"/>
          <w:szCs w:val="22"/>
        </w:rPr>
        <w:t xml:space="preserve">Sebelum melangkah jauh, kita perlu meluruskan satu kekeliruan yang sering muncul di awal kuliah: hukum internasional publik tidak sama dengan hukum perdata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3563"/>
        <w:gridCol w:w="3563"/>
      </w:tblGrid>
      <w:tr>
        <w:trPr>
          <w:cantSplit/>
          <w:tblHeader/>
        </w:trPr>
        <w:tc>
          <w:tcPr>
            <w:tcW w:type="dxa" w:w="19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Aspek</w:t>
            </w:r>
          </w:p>
        </w:tc>
        <w:tc>
          <w:tcPr>
            <w:tcW w:type="dxa" w:w="3563"/>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Hukum Internasional Publik</w:t>
            </w:r>
          </w:p>
        </w:tc>
        <w:tc>
          <w:tcPr>
            <w:tcW w:type="dxa" w:w="3563"/>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Hukum Perdata Internasional (HPI)</w:t>
            </w:r>
          </w:p>
        </w:tc>
      </w:tr>
      <w:tr>
        <w:trPr>
          <w:cantSplit/>
        </w:trPr>
        <w:tc>
          <w:tcPr>
            <w:tcW w:type="dxa" w:w="1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Para pihak</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Terutama negara dan organisasi internasional</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Orang atau badan hukum privat</w:t>
            </w:r>
          </w:p>
        </w:tc>
      </w:tr>
      <w:tr>
        <w:trPr>
          <w:cantSplit/>
        </w:trPr>
        <w:tc>
          <w:tcPr>
            <w:tcW w:type="dxa" w:w="1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Objek</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Hubungan antarnegara: kedaulatan, wilayah, perang, laut, HAM</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Peristiwa perdata yang mengandung unsur asing: kontrak lintas negara, waris, perkawinan campuran</w:t>
            </w:r>
          </w:p>
        </w:tc>
      </w:tr>
      <w:tr>
        <w:trPr>
          <w:cantSplit/>
        </w:trPr>
        <w:tc>
          <w:tcPr>
            <w:tcW w:type="dxa" w:w="1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Sifat kaidah</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Kaidah internasional yang mengikat negara</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Pada dasarnya hukum nasional masing-masing negara yang menentukan hukum mana yang berlaku</w:t>
            </w:r>
          </w:p>
        </w:tc>
      </w:tr>
      <w:tr>
        <w:trPr>
          <w:cantSplit/>
        </w:trPr>
        <w:tc>
          <w:tcPr>
            <w:tcW w:type="dxa" w:w="1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Contoh</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Sengketa batas laut dua negara</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Sengketa kontrak jual beli antara perusahaan Indonesia dan perusahaan Jepang</w:t>
            </w:r>
          </w:p>
        </w:tc>
      </w:tr>
    </w:tbl>
    <w:p>
      <w:pPr>
        <w:spacing w:after="160" w:line="200"/>
      </w:pPr>
    </w:p>
    <w:p>
      <w:pPr>
        <w:pStyle w:val="Heading2"/>
        <w:keepNext/>
        <w:spacing w:after="120" w:before="280"/>
      </w:pPr>
      <w:r>
        <w:t xml:space="preserve">B. Dunia Tanpa Pemerintah Dunia: Ciri Khas yang Membuatnya Unik</w:t>
      </w:r>
    </w:p>
    <w:p>
      <w:pPr>
        <w:spacing w:after="140" w:before="0" w:line="300"/>
        <w:jc w:val="both"/>
      </w:pPr>
      <w:r>
        <w:rPr>
          <w:sz w:val="22"/>
          <w:szCs w:val="22"/>
        </w:rPr>
        <w:t xml:space="preserve">Hukum nasional bersifat </w:t>
      </w:r>
      <w:r>
        <w:rPr>
          <w:b/>
          <w:bCs/>
          <w:sz w:val="22"/>
          <w:szCs w:val="22"/>
        </w:rPr>
        <w:t xml:space="preserve">vertikal</w:t>
      </w:r>
      <w:r>
        <w:rPr>
          <w:sz w:val="22"/>
          <w:szCs w:val="22"/>
        </w:rPr>
        <w:t xml:space="preserve">: negara berada di atas warganya, membuat aturan, mengadili, dan memaksakan putusan. Hukum internasional bersifat </w:t>
      </w:r>
      <w:r>
        <w:rPr>
          <w:b/>
          <w:bCs/>
          <w:sz w:val="22"/>
          <w:szCs w:val="22"/>
        </w:rPr>
        <w:t xml:space="preserve">horizontal</w:t>
      </w:r>
      <w:r>
        <w:rPr>
          <w:sz w:val="22"/>
          <w:szCs w:val="22"/>
        </w:rPr>
        <w:t xml:space="preserve"> atau koordinatif: para subjeknya, terutama negara, setara secara hukum dan tidak ada yang berdiri di atas yang lain. Perhatikan perbandingan berikut.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3563"/>
        <w:gridCol w:w="3563"/>
      </w:tblGrid>
      <w:tr>
        <w:trPr>
          <w:cantSplit/>
          <w:tblHeader/>
        </w:trPr>
        <w:tc>
          <w:tcPr>
            <w:tcW w:type="dxa" w:w="19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Fungsi</w:t>
            </w:r>
          </w:p>
        </w:tc>
        <w:tc>
          <w:tcPr>
            <w:tcW w:type="dxa" w:w="3563"/>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Hukum Nasional</w:t>
            </w:r>
          </w:p>
        </w:tc>
        <w:tc>
          <w:tcPr>
            <w:tcW w:type="dxa" w:w="3563"/>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Hukum Internasional</w:t>
            </w:r>
          </w:p>
        </w:tc>
      </w:tr>
      <w:tr>
        <w:trPr>
          <w:cantSplit/>
        </w:trPr>
        <w:tc>
          <w:tcPr>
            <w:tcW w:type="dxa" w:w="1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Pembuat hukum</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Legislatif (DPR bersama Presiden)</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Negara sendiri, melalui perjanjian dan kebiasaan. Majelis Umum PBB bukan parlemen dunia</w:t>
            </w:r>
          </w:p>
        </w:tc>
      </w:tr>
      <w:tr>
        <w:trPr>
          <w:cantSplit/>
        </w:trPr>
        <w:tc>
          <w:tcPr>
            <w:tcW w:type="dxa" w:w="1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Peradilan</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Wajib dan berjenjang</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Berdasarkan persetujuan (consent) negara yang bersengketa</w:t>
            </w:r>
          </w:p>
        </w:tc>
      </w:tr>
      <w:tr>
        <w:trPr>
          <w:cantSplit/>
        </w:trPr>
        <w:tc>
          <w:tcPr>
            <w:tcW w:type="dxa" w:w="1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Penegakan</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Polisi, jaksa, lembaga pemasyarakatan</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Tindakan balasan (countermeasures), sanksi Dewan Keamanan PBB, tekanan politik dan reputasi</w:t>
            </w:r>
          </w:p>
        </w:tc>
      </w:tr>
      <w:tr>
        <w:trPr>
          <w:cantSplit/>
        </w:trPr>
        <w:tc>
          <w:tcPr>
            <w:tcW w:type="dxa" w:w="1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Subjek utama</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Orang perseorangan dan badan hukum</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Negara, ditambah organisasi internasional dan subjek lain</w:t>
            </w:r>
          </w:p>
        </w:tc>
      </w:tr>
    </w:tbl>
    <w:p>
      <w:pPr>
        <w:spacing w:after="160" w:line="200"/>
      </w:pPr>
    </w:p>
    <w:p>
      <w:pPr>
        <w:spacing w:after="140" w:before="0" w:line="300"/>
        <w:jc w:val="both"/>
      </w:pPr>
      <w:r>
        <w:rPr>
          <w:sz w:val="22"/>
          <w:szCs w:val="22"/>
        </w:rPr>
        <w:t xml:space="preserve">Konsekuensinya besar: dalam hukum internasional, </w:t>
      </w:r>
      <w:r>
        <w:rPr>
          <w:b/>
          <w:bCs/>
          <w:sz w:val="22"/>
          <w:szCs w:val="22"/>
        </w:rPr>
        <w:t xml:space="preserve">persetujuan negara</w:t>
      </w:r>
      <w:r>
        <w:rPr>
          <w:sz w:val="22"/>
          <w:szCs w:val="22"/>
        </w:rPr>
        <w:t xml:space="preserve"> adalah jantung dari hampir semua hal. Negara terikat pada perjanjian karena ia menyetujuinya, terikat pada kebiasaan karena ia turut mempraktikkannya, dan tunduk pada pengadilan internasional karena ia menerima yurisdiksinya.</w:t>
      </w:r>
    </w:p>
    <w:p>
      <w:pPr>
        <w:pStyle w:val="Heading2"/>
        <w:keepNext/>
        <w:spacing w:after="120" w:before="280"/>
      </w:pPr>
      <w:r>
        <w:t xml:space="preserve">C. Benarkah Ini "Hukum"? Perdebatan yang Tidak Kunjung Usang</w:t>
      </w:r>
    </w:p>
    <w:p>
      <w:pPr>
        <w:spacing w:after="140" w:before="0" w:line="300"/>
        <w:jc w:val="both"/>
      </w:pPr>
      <w:r>
        <w:rPr>
          <w:sz w:val="22"/>
          <w:szCs w:val="22"/>
        </w:rPr>
        <w:t xml:space="preserve">Filsuf hukum John Austin memandang hukum sebagai perintah pihak berdaulat yang didukung sanksi. Dengan ukuran itu, hukum internasional hanyalah "moralitas positif" karena tak ada pihak berdaulat di atas negara. H.L.A. Hart menilai sistem ini masih sederhana, mirip masyarakat awal yang bertumpu pada kewajiban primer, tetapi ia tidak menyangkal statusnya sebagai hukum. Pandangan modern condong menerima hukum internasional sebagai hukum sungguhan dengan cara kerja yang berbeda.</w:t>
      </w:r>
    </w:p>
    <w:p>
      <w:pPr>
        <w:spacing w:after="140" w:before="0" w:line="300"/>
        <w:jc w:val="both"/>
      </w:pPr>
      <w:r>
        <w:rPr>
          <w:sz w:val="22"/>
          <w:szCs w:val="22"/>
        </w:rPr>
        <w:t xml:space="preserve">Ada satu petunjuk menarik. Negara yang melanggar hampir tidak pernah berkata, "hukum internasional tidak ada." Ia justru bersusah payah berdalih bahwa tindakannya </w:t>
      </w:r>
      <w:r>
        <w:rPr>
          <w:i/>
          <w:iCs/>
          <w:sz w:val="22"/>
          <w:szCs w:val="22"/>
        </w:rPr>
        <w:t xml:space="preserve">sesuai</w:t>
      </w:r>
      <w:r>
        <w:rPr>
          <w:sz w:val="22"/>
          <w:szCs w:val="22"/>
        </w:rPr>
        <w:t xml:space="preserve"> hukum. Perilaku semacam itu menunjukkan bahwa kaidah hukum internasional dianggap nyata dan berbobot, sebab tidak ada yang repot mencari pembenaran atas aturan yang dianggap kosong.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Tahukah Kamu? Hukum yang Bekerja Diam-Diam</w:t>
            </w:r>
          </w:p>
          <w:p>
            <w:pPr>
              <w:spacing w:after="80" w:before="0" w:line="290"/>
              <w:jc w:val="left"/>
            </w:pPr>
            <w:r>
              <w:rPr>
                <w:sz w:val="21"/>
                <w:szCs w:val="21"/>
              </w:rPr>
              <w:t xml:space="preserve">Pesawat yang membawamu terbang, paket yang dikirim lintas negara, sinyal ponsel yang tetap menyala saat roaming, semuanya berjalan di atas rezim hukum internasional (Konvensi Chicago 1944 tentang penerbangan sipil, Universal Postal Union, International Telecommunication Union). Ahli hukum Louis Henkin pernah menyimpulkan bahwa hampir semua negara menaati hampir semua prinsip hukum internasional hampir sepanjang waktu. Pelanggaran memang menjadi berita, ketaatan tidak.</w:t>
            </w:r>
          </w:p>
        </w:tc>
      </w:tr>
    </w:tbl>
    <w:p>
      <w:pPr>
        <w:spacing w:after="160" w:line="200"/>
      </w:pPr>
    </w:p>
    <w:p>
      <w:pPr>
        <w:spacing w:after="140" w:before="0" w:line="300"/>
        <w:jc w:val="both"/>
      </w:pPr>
      <w:r>
        <w:rPr>
          <w:sz w:val="22"/>
          <w:szCs w:val="22"/>
        </w:rPr>
        <w:t xml:space="preserve">Lalu mengapa negara menaatinya? Para ahli menyebut beberapa alasan yang saling melengkapi:</w:t>
      </w:r>
    </w:p>
    <w:p>
      <w:pPr>
        <w:pStyle w:val="ListParagraph"/>
        <w:numPr>
          <w:ilvl w:val="0"/>
          <w:numId w:val="2"/>
        </w:numPr>
        <w:spacing w:after="80" w:line="290"/>
        <w:jc w:val="left"/>
      </w:pPr>
      <w:r>
        <w:rPr>
          <w:b/>
          <w:bCs/>
          <w:sz w:val="22"/>
          <w:szCs w:val="22"/>
        </w:rPr>
        <w:t xml:space="preserve">Resiprositas</w:t>
      </w:r>
      <w:r>
        <w:rPr>
          <w:sz w:val="22"/>
          <w:szCs w:val="22"/>
        </w:rPr>
        <w:t xml:space="preserve">: negara yang melanggar hari ini akan sulit menuntut ketaatan dari pihak lain esok hari.</w:t>
      </w:r>
    </w:p>
    <w:p>
      <w:pPr>
        <w:pStyle w:val="ListParagraph"/>
        <w:numPr>
          <w:ilvl w:val="0"/>
          <w:numId w:val="2"/>
        </w:numPr>
        <w:spacing w:after="80" w:line="290"/>
        <w:jc w:val="left"/>
      </w:pPr>
      <w:r>
        <w:rPr>
          <w:b/>
          <w:bCs/>
          <w:sz w:val="22"/>
          <w:szCs w:val="22"/>
        </w:rPr>
        <w:t xml:space="preserve">Reputasi</w:t>
      </w:r>
      <w:r>
        <w:rPr>
          <w:sz w:val="22"/>
          <w:szCs w:val="22"/>
        </w:rPr>
        <w:t xml:space="preserve">: negara yang dikenal ingkar janji akan sulit diajak berunding, berdagang, dan berinvestasi.</w:t>
      </w:r>
    </w:p>
    <w:p>
      <w:pPr>
        <w:pStyle w:val="ListParagraph"/>
        <w:numPr>
          <w:ilvl w:val="0"/>
          <w:numId w:val="2"/>
        </w:numPr>
        <w:spacing w:after="80" w:line="290"/>
        <w:jc w:val="left"/>
      </w:pPr>
      <w:r>
        <w:rPr>
          <w:b/>
          <w:bCs/>
          <w:sz w:val="22"/>
          <w:szCs w:val="22"/>
        </w:rPr>
        <w:t xml:space="preserve">Kepentingan bersama</w:t>
      </w:r>
      <w:r>
        <w:rPr>
          <w:sz w:val="22"/>
          <w:szCs w:val="22"/>
        </w:rPr>
        <w:t xml:space="preserve">: banyak aturan, seperti navigasi dan penerbangan, menguntungkan semua pihak.</w:t>
      </w:r>
    </w:p>
    <w:p>
      <w:pPr>
        <w:pStyle w:val="ListParagraph"/>
        <w:numPr>
          <w:ilvl w:val="0"/>
          <w:numId w:val="2"/>
        </w:numPr>
        <w:spacing w:after="80" w:line="290"/>
        <w:jc w:val="left"/>
      </w:pPr>
      <w:r>
        <w:rPr>
          <w:b/>
          <w:bCs/>
          <w:sz w:val="22"/>
          <w:szCs w:val="22"/>
        </w:rPr>
        <w:t xml:space="preserve">Mekanisme penegakan</w:t>
      </w:r>
      <w:r>
        <w:rPr>
          <w:sz w:val="22"/>
          <w:szCs w:val="22"/>
        </w:rPr>
        <w:t xml:space="preserve">: tindakan balasan, sanksi Dewan Keamanan PBB berdasarkan Bab VII Piagam, dan putusan pengadilan internasional.</w:t>
      </w:r>
    </w:p>
    <w:p>
      <w:pPr>
        <w:pStyle w:val="ListParagraph"/>
        <w:numPr>
          <w:ilvl w:val="0"/>
          <w:numId w:val="2"/>
        </w:numPr>
        <w:spacing w:after="80" w:line="290"/>
        <w:jc w:val="left"/>
      </w:pPr>
      <w:r>
        <w:rPr>
          <w:b/>
          <w:bCs/>
          <w:sz w:val="22"/>
          <w:szCs w:val="22"/>
        </w:rPr>
        <w:t xml:space="preserve">Tekanan domestik</w:t>
      </w:r>
      <w:r>
        <w:rPr>
          <w:sz w:val="22"/>
          <w:szCs w:val="22"/>
        </w:rPr>
        <w:t xml:space="preserve">: warga, pers, dan lembaga peradilan nasional dapat menekan pemerintah agar patuh.</w:t>
      </w:r>
    </w:p>
    <w:p>
      <w:pPr>
        <w:spacing w:after="8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Mini Kasus: Ketika Indonesia Kalah dan Tetap Patuh</w:t>
            </w:r>
          </w:p>
          <w:p>
            <w:pPr>
              <w:spacing w:after="80" w:before="0" w:line="290"/>
              <w:jc w:val="left"/>
            </w:pPr>
            <w:r>
              <w:rPr>
                <w:sz w:val="21"/>
                <w:szCs w:val="21"/>
              </w:rPr>
              <w:t xml:space="preserve">Pada 17 Desember 2002, Mahkamah Internasional (ICJ) memutuskan bahwa kedaulatan atas Pulau Sipadan dan Ligitan berada di tangan Malaysia. Indonesia, yang kalah, menerima putusan itu dan tidak melakukan perlawanan. Dari sini kita belajar bahwa kekuatan hukum internasional sering bertumpu pada komitmen negara pada aturan main yang ia setujui sendiri, bukan pada paksaan. Kasus ini akan kita bedah lebih dalam di Bab 10.</w:t>
            </w:r>
          </w:p>
        </w:tc>
      </w:tr>
    </w:tbl>
    <w:p>
      <w:pPr>
        <w:spacing w:after="160" w:line="200"/>
      </w:pPr>
    </w:p>
    <w:p>
      <w:pPr>
        <w:pStyle w:val="Heading2"/>
        <w:keepNext/>
        <w:spacing w:after="120" w:before="280"/>
      </w:pPr>
      <w:r>
        <w:t xml:space="preserve">D. Mengapa Hukum Internasional Mengikat?</w:t>
      </w:r>
    </w:p>
    <w:p>
      <w:pPr>
        <w:spacing w:after="140" w:before="0" w:line="300"/>
        <w:jc w:val="both"/>
      </w:pPr>
      <w:r>
        <w:rPr>
          <w:sz w:val="22"/>
          <w:szCs w:val="22"/>
        </w:rPr>
        <w:t xml:space="preserve">Pertanyaan tentang dasar mengikat adalah pertanyaan filosofis yang dijawab berbeda oleh berbagai aliran.</w:t>
      </w:r>
    </w:p>
    <w:p>
      <w:pPr>
        <w:pStyle w:val="ListParagraph"/>
        <w:numPr>
          <w:ilvl w:val="0"/>
          <w:numId w:val="2"/>
        </w:numPr>
        <w:spacing w:after="80" w:line="290"/>
        <w:jc w:val="left"/>
      </w:pPr>
      <w:r>
        <w:rPr>
          <w:b/>
          <w:bCs/>
          <w:sz w:val="22"/>
          <w:szCs w:val="22"/>
        </w:rPr>
        <w:t xml:space="preserve">Aliran hukum alam (naturalis)</w:t>
      </w:r>
      <w:r>
        <w:rPr>
          <w:sz w:val="22"/>
          <w:szCs w:val="22"/>
        </w:rPr>
        <w:t xml:space="preserve">: hukum internasional mengikat karena bersumber dari akal budi dan keadilan yang berlaku universal.</w:t>
      </w:r>
    </w:p>
    <w:p>
      <w:pPr>
        <w:pStyle w:val="ListParagraph"/>
        <w:numPr>
          <w:ilvl w:val="0"/>
          <w:numId w:val="2"/>
        </w:numPr>
        <w:spacing w:after="80" w:line="290"/>
        <w:jc w:val="left"/>
      </w:pPr>
      <w:r>
        <w:rPr>
          <w:b/>
          <w:bCs/>
          <w:sz w:val="22"/>
          <w:szCs w:val="22"/>
        </w:rPr>
        <w:t xml:space="preserve">Aliran positivis</w:t>
      </w:r>
      <w:r>
        <w:rPr>
          <w:sz w:val="22"/>
          <w:szCs w:val="22"/>
        </w:rPr>
        <w:t xml:space="preserve">: hukum internasional mengikat karena kehendak negara-negara, yang dinyatakan lewat perjanjian atau kebiasaan.</w:t>
      </w:r>
    </w:p>
    <w:p>
      <w:pPr>
        <w:pStyle w:val="ListParagraph"/>
        <w:numPr>
          <w:ilvl w:val="0"/>
          <w:numId w:val="2"/>
        </w:numPr>
        <w:spacing w:after="80" w:line="290"/>
        <w:jc w:val="left"/>
      </w:pPr>
      <w:r>
        <w:rPr>
          <w:b/>
          <w:bCs/>
          <w:sz w:val="22"/>
          <w:szCs w:val="22"/>
        </w:rPr>
        <w:t xml:space="preserve">Teori norma dasar (Hans Kelsen)</w:t>
      </w:r>
      <w:r>
        <w:rPr>
          <w:sz w:val="22"/>
          <w:szCs w:val="22"/>
        </w:rPr>
        <w:t xml:space="preserve">: keabsahan norma bersumber dari norma yang lebih tinggi, sampai pada norma dasar seperti </w:t>
      </w:r>
      <w:r>
        <w:rPr>
          <w:i/>
          <w:iCs/>
          <w:sz w:val="22"/>
          <w:szCs w:val="22"/>
        </w:rPr>
        <w:t xml:space="preserve">pacta sunt servanda</w:t>
      </w:r>
      <w:r>
        <w:rPr>
          <w:sz w:val="22"/>
          <w:szCs w:val="22"/>
        </w:rPr>
        <w:t xml:space="preserve">, yakni janji harus ditepati.</w:t>
      </w:r>
    </w:p>
    <w:p>
      <w:pPr>
        <w:pStyle w:val="ListParagraph"/>
        <w:numPr>
          <w:ilvl w:val="0"/>
          <w:numId w:val="2"/>
        </w:numPr>
        <w:spacing w:after="80" w:line="290"/>
        <w:jc w:val="left"/>
      </w:pPr>
      <w:r>
        <w:rPr>
          <w:b/>
          <w:bCs/>
          <w:sz w:val="22"/>
          <w:szCs w:val="22"/>
        </w:rPr>
        <w:t xml:space="preserve">Pendekatan eklektik (Hugo Grotius)</w:t>
      </w:r>
      <w:r>
        <w:rPr>
          <w:sz w:val="22"/>
          <w:szCs w:val="22"/>
        </w:rPr>
        <w:t xml:space="preserve">: memadukan unsur hukum alam dan hukum positif. Pandangan inilah yang paling mendekati cara berpikir hukum internasional kontemporer.</w:t>
      </w:r>
    </w:p>
    <w:p>
      <w:pPr>
        <w:spacing w:after="80" w:line="200"/>
      </w:pPr>
    </w:p>
    <w:p>
      <w:pPr>
        <w:pStyle w:val="Heading2"/>
        <w:keepNext/>
        <w:spacing w:after="120" w:before="280"/>
      </w:pPr>
      <w:r>
        <w:t xml:space="preserve">E. Fungsi dan Cabang-Cabang Hukum Internasional</w:t>
      </w:r>
    </w:p>
    <w:p>
      <w:pPr>
        <w:spacing w:after="140" w:before="0" w:line="300"/>
        <w:jc w:val="both"/>
      </w:pPr>
      <w:r>
        <w:rPr>
          <w:sz w:val="22"/>
          <w:szCs w:val="22"/>
        </w:rPr>
        <w:t xml:space="preserve">Fungsi utama hukum internasional adalah menjaga perdamaian dan keamanan, memfasilitasi kerja sama antarnegara, melindungi martabat manusia, serta mengatur pemanfaatan ruang bersama seperti laut lepas, atmosfer, dan ruang angkasa. Dalam perkembangannya, hukum internasional bercabang menjadi banyak bidang: hukum perjanjian, hukum laut, hukum diplomatik dan konsuler, hukum organisasi internasional, hukum hak asasi manusia, hukum humaniter, hukum pidana internasional, hukum lingkungan, hukum ekonomi dan investasi internasional, hukum udara dan ruang angkasa, hingga hukum siber. Empat belas topik dalam modul ini adalah pintu masuk untuk memahami peta besar tersebut.</w:t>
      </w: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Hukum internasional publik mengatur hubungan lintas batas antara negara dan subjek hukum internasional lainnya; ia berbeda dari hukum perdata internasional.</w:t>
            </w:r>
          </w:p>
          <w:p>
            <w:pPr>
              <w:pStyle w:val="ListParagraph"/>
              <w:numPr>
                <w:ilvl w:val="0"/>
                <w:numId w:val="2"/>
              </w:numPr>
              <w:spacing w:after="80" w:line="290"/>
              <w:jc w:val="left"/>
            </w:pPr>
            <w:r>
              <w:rPr>
                <w:sz w:val="21"/>
                <w:szCs w:val="21"/>
              </w:rPr>
              <w:t xml:space="preserve">Strukturnya horizontal: tidak ada legislatif, eksekutif, dan yudikatif dunia yang berdiri di atas negara.</w:t>
            </w:r>
          </w:p>
          <w:p>
            <w:pPr>
              <w:pStyle w:val="ListParagraph"/>
              <w:numPr>
                <w:ilvl w:val="0"/>
                <w:numId w:val="2"/>
              </w:numPr>
              <w:spacing w:after="80" w:line="290"/>
              <w:jc w:val="left"/>
            </w:pPr>
            <w:r>
              <w:rPr>
                <w:sz w:val="21"/>
                <w:szCs w:val="21"/>
              </w:rPr>
              <w:t xml:space="preserve">Persetujuan negara adalah kunci pembentukan, pengikatan, dan penyelesaian sengketa.</w:t>
            </w:r>
          </w:p>
          <w:p>
            <w:pPr>
              <w:pStyle w:val="ListParagraph"/>
              <w:numPr>
                <w:ilvl w:val="0"/>
                <w:numId w:val="2"/>
              </w:numPr>
              <w:spacing w:after="80" w:line="290"/>
              <w:jc w:val="left"/>
            </w:pPr>
            <w:r>
              <w:rPr>
                <w:sz w:val="21"/>
                <w:szCs w:val="21"/>
              </w:rPr>
              <w:t xml:space="preserve">Negara menaati hukum internasional karena resiprositas, reputasi, kepentingan bersama, dan adanya mekanisme penegakan.</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hukum internasional publik  •  HPI  •  struktur koordinatif  •  consent  •  pacta sunt servanda  •  countermeasures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3"/>
              </w:numPr>
              <w:spacing w:after="80" w:line="290"/>
              <w:jc w:val="left"/>
            </w:pPr>
            <w:r>
              <w:rPr>
                <w:sz w:val="21"/>
                <w:szCs w:val="21"/>
              </w:rPr>
              <w:t xml:space="preserve">Jika hukum internasional tidak memiliki polisi dunia, mengapa Indonesia tetap menaati putusan Sipadan-Ligitan? Sebutkan tiga faktor.</w:t>
            </w:r>
          </w:p>
          <w:p>
            <w:pPr>
              <w:pStyle w:val="ListParagraph"/>
              <w:numPr>
                <w:ilvl w:val="0"/>
                <w:numId w:val="3"/>
              </w:numPr>
              <w:spacing w:after="80" w:line="290"/>
              <w:jc w:val="left"/>
            </w:pPr>
            <w:r>
              <w:rPr>
                <w:sz w:val="21"/>
                <w:szCs w:val="21"/>
              </w:rPr>
              <w:t xml:space="preserve">Buatlah tiga contoh peristiwa sehari-hari yang diatur oleh hukum internasional tanpa kamu sadari.</w:t>
            </w:r>
          </w:p>
          <w:p>
            <w:pPr>
              <w:pStyle w:val="ListParagraph"/>
              <w:numPr>
                <w:ilvl w:val="0"/>
                <w:numId w:val="3"/>
              </w:numPr>
              <w:spacing w:after="80" w:line="290"/>
              <w:jc w:val="left"/>
            </w:pPr>
            <w:r>
              <w:rPr>
                <w:sz w:val="21"/>
                <w:szCs w:val="21"/>
              </w:rPr>
              <w:t xml:space="preserve">Apakah kamu sepakat bahwa "hukum tanpa sanksi bukanlah hukum"? Berikan argumenmu.</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Debat Dua Kubu (20 menit).</w:t>
            </w:r>
            <w:r>
              <w:rPr>
                <w:sz w:val="21"/>
                <w:szCs w:val="21"/>
              </w:rPr>
              <w:t xml:space="preserve"> Kelas dibagi dua. Kubu A membela pernyataan "Hukum internasional adalah hukum sejati", kubu B membela "Hukum internasional hanyalah norma moral dan politik". Setiap kubu wajib memakai minimal satu contoh nyata. Dosen menilai kualitas argumen (bukan kemenangan) sebagai bagian dari komponen soft skill.</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"Bertindaklah sebagai dosen hukum internasional yang sabar. Jelaskan perbedaan hukum internasional publik dan hukum perdata internasional dengan tiga contoh dari kehidupan sehari-hari di Indonesia, lalu ajukan tiga pertanyaan untuk menguji pemahamanku dan koreksi jawabanku satu per satu."</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Ahmad Syofyan (2022); Arman Anwar dkk. (2021); Mochtar Kusumaatmadja, </w:t>
      </w:r>
      <w:r>
        <w:rPr>
          <w:i/>
          <w:iCs/>
          <w:color w:val="595959"/>
          <w:sz w:val="20"/>
          <w:szCs w:val="20"/>
        </w:rPr>
        <w:t xml:space="preserve">Pengantar Hukum Internasional</w:t>
      </w:r>
      <w:r>
        <w:rPr>
          <w:color w:val="595959"/>
          <w:sz w:val="20"/>
          <w:szCs w:val="20"/>
        </w:rPr>
        <w:t xml:space="preserve">; Boer Mauna, </w:t>
      </w:r>
      <w:r>
        <w:rPr>
          <w:i/>
          <w:iCs/>
          <w:color w:val="595959"/>
          <w:sz w:val="20"/>
          <w:szCs w:val="20"/>
        </w:rPr>
        <w:t xml:space="preserve">Hukum Internasional</w:t>
      </w:r>
      <w:r>
        <w:rPr>
          <w:color w:val="595959"/>
          <w:sz w:val="20"/>
          <w:szCs w:val="20"/>
        </w:rPr>
        <w:t xml:space="preserve">; J.G. Starke, </w:t>
      </w:r>
      <w:r>
        <w:rPr>
          <w:i/>
          <w:iCs/>
          <w:color w:val="595959"/>
          <w:sz w:val="20"/>
          <w:szCs w:val="20"/>
        </w:rPr>
        <w:t xml:space="preserve">Introduction to International Law</w:t>
      </w:r>
      <w:r>
        <w:rPr>
          <w:color w:val="595959"/>
          <w:sz w:val="20"/>
          <w:szCs w:val="20"/>
        </w:rPr>
        <w:t xml:space="preserve">.</w:t>
      </w:r>
    </w:p>
    <w:p>
      <w:pPr>
        <w:keepNext/>
        <w:pageBreakBefore/>
        <w:spacing w:after="60"/>
      </w:pPr>
      <w:r>
        <w:rPr>
          <w:rFonts w:ascii="Calibri" w:cs="Calibri" w:eastAsia="Calibri" w:hAnsi="Calibri"/>
          <w:b/>
          <w:bCs/>
          <w:color w:val="B8892B"/>
          <w:spacing w:val="60"/>
          <w:sz w:val="22"/>
          <w:szCs w:val="22"/>
        </w:rPr>
        <w:t xml:space="preserve">BAB 2   |   PERTEMUAN 2</w:t>
      </w:r>
    </w:p>
    <w:p>
      <w:pPr>
        <w:pStyle w:val="Heading1"/>
        <w:keepNext/>
        <w:pBdr>
          <w:bottom w:val="single" w:color="B8892B" w:sz="12" w:space="6"/>
        </w:pBdr>
        <w:spacing w:after="100"/>
      </w:pPr>
      <w:r>
        <w:t xml:space="preserve">Dari Prasasti Perdamaian Firaun hingga Ruang Sidang Den Haag</w:t>
      </w:r>
    </w:p>
    <w:p>
      <w:pPr>
        <w:spacing w:after="200"/>
      </w:pPr>
      <w:r>
        <w:rPr>
          <w:rFonts w:ascii="Cambria" w:cs="Cambria" w:eastAsia="Cambria" w:hAnsi="Cambria"/>
          <w:i/>
          <w:iCs/>
          <w:color w:val="595959"/>
          <w:sz w:val="26"/>
          <w:szCs w:val="26"/>
        </w:rPr>
        <w:t xml:space="preserve">Sejarah dan Perkembangan Hukum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Perjanjian Tertua yang Kita Kenal</w:t>
            </w:r>
          </w:p>
          <w:p>
            <w:pPr>
              <w:spacing w:after="80" w:before="0" w:line="290"/>
              <w:jc w:val="left"/>
            </w:pPr>
            <w:r>
              <w:rPr>
                <w:sz w:val="21"/>
                <w:szCs w:val="21"/>
              </w:rPr>
              <w:t xml:space="preserve">Sekitar tahun 1259 SM, dua raksasa zaman perunggu, Ramses II dari Mesir dan Hattusili III dari Het, mengakhiri permusuhan panjang mereka lewat perjanjian damai tertulis. Naskahnya diukir di tablet tanah liat dan batu, dan replikanya kini dipajang di markas besar PBB di New York. Lebih dari tiga ribu tahun kemudian, negara-negara masih membuat perjanjian dengan logika yang mirip: saling berjanji, saling mengikat. Bab ini mengajakmu menelusuri bagaimana kebiasaan sederhana itu tumbuh menjadi sistem hukum global.</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menguraikan periodisasi perkembangan hukum internasional dari zaman kuno hingga kontemporer;</w:t>
            </w:r>
          </w:p>
          <w:p>
            <w:pPr>
              <w:pStyle w:val="ListParagraph"/>
              <w:numPr>
                <w:ilvl w:val="0"/>
                <w:numId w:val="2"/>
              </w:numPr>
              <w:spacing w:after="80" w:line="290"/>
              <w:jc w:val="left"/>
            </w:pPr>
            <w:r>
              <w:rPr>
                <w:sz w:val="21"/>
                <w:szCs w:val="21"/>
              </w:rPr>
              <w:t xml:space="preserve">menjelaskan peran peristiwa penting seperti Perdamaian Westphalia, Kongres Wina, Liga Bangsa-Bangsa, dan PBB;</w:t>
            </w:r>
          </w:p>
          <w:p>
            <w:pPr>
              <w:pStyle w:val="ListParagraph"/>
              <w:numPr>
                <w:ilvl w:val="0"/>
                <w:numId w:val="2"/>
              </w:numPr>
              <w:spacing w:after="80" w:line="290"/>
              <w:jc w:val="left"/>
            </w:pPr>
            <w:r>
              <w:rPr>
                <w:sz w:val="21"/>
                <w:szCs w:val="21"/>
              </w:rPr>
              <w:t xml:space="preserve">menganalisis pengaruh dekolonisasi dan peran Indonesia dalam perkembangan hukum internasional;</w:t>
            </w:r>
          </w:p>
          <w:p>
            <w:pPr>
              <w:pStyle w:val="ListParagraph"/>
              <w:numPr>
                <w:ilvl w:val="0"/>
                <w:numId w:val="2"/>
              </w:numPr>
              <w:spacing w:after="80" w:line="290"/>
              <w:jc w:val="left"/>
            </w:pPr>
            <w:r>
              <w:rPr>
                <w:sz w:val="21"/>
                <w:szCs w:val="21"/>
              </w:rPr>
              <w:t xml:space="preserve">mengkritisi pandangan yang terlalu berpusat pada Eropa (Eurosentrisme) dalam sejarah hukum internasional.</w:t>
            </w:r>
          </w:p>
        </w:tc>
      </w:tr>
    </w:tbl>
    <w:p>
      <w:pPr>
        <w:spacing w:after="160" w:line="200"/>
      </w:pPr>
    </w:p>
    <w:p>
      <w:pPr>
        <w:pStyle w:val="Heading2"/>
        <w:keepNext/>
        <w:spacing w:after="120" w:before="280"/>
      </w:pPr>
      <w:r>
        <w:t xml:space="preserve">A. Akar Kuno: Perjanjian, Duta, dan Aturan Perang</w:t>
      </w:r>
    </w:p>
    <w:p>
      <w:pPr>
        <w:spacing w:after="140" w:before="0" w:line="300"/>
        <w:jc w:val="both"/>
      </w:pPr>
      <w:r>
        <w:rPr>
          <w:sz w:val="22"/>
          <w:szCs w:val="22"/>
        </w:rPr>
        <w:t xml:space="preserve">Hukum internasional tidak lahir tiba-tiba di Eropa abad ke-17. Peradaban Mesopotamia telah mencatat perjanjian penetapan batas antarkota. Perjanjian Mesir-Het menjadi contoh perjanjian damai yang terkenal. Di India kuno, teks-teks seperti Arthashastra membahas diplomasi dan etika perang. Kota-kota Yunani mengenal arbitrasi dan perlindungan bagi utusan. Bangsa Romawi mengembangkan </w:t>
      </w:r>
      <w:r>
        <w:rPr>
          <w:i/>
          <w:iCs/>
          <w:sz w:val="22"/>
          <w:szCs w:val="22"/>
        </w:rPr>
        <w:t xml:space="preserve">jus gentium</w:t>
      </w:r>
      <w:r>
        <w:rPr>
          <w:sz w:val="22"/>
          <w:szCs w:val="22"/>
        </w:rPr>
        <w:t xml:space="preserve">, yaitu hukum yang berlaku bagi semua bangsa, serta </w:t>
      </w:r>
      <w:r>
        <w:rPr>
          <w:i/>
          <w:iCs/>
          <w:sz w:val="22"/>
          <w:szCs w:val="22"/>
        </w:rPr>
        <w:t xml:space="preserve">jus fetiale</w:t>
      </w:r>
      <w:r>
        <w:rPr>
          <w:sz w:val="22"/>
          <w:szCs w:val="22"/>
        </w:rPr>
        <w:t xml:space="preserve">, prosedur ritual sebelum menyatakan perang.</w:t>
      </w:r>
    </w:p>
    <w:p>
      <w:pPr>
        <w:pStyle w:val="Heading2"/>
        <w:keepNext/>
        <w:spacing w:after="120" w:before="280"/>
      </w:pPr>
      <w:r>
        <w:t xml:space="preserve">B. Abad Pertengahan dan Tradisi Non-Eropa</w:t>
      </w:r>
    </w:p>
    <w:p>
      <w:pPr>
        <w:spacing w:after="140" w:before="0" w:line="300"/>
        <w:jc w:val="both"/>
      </w:pPr>
      <w:r>
        <w:rPr>
          <w:sz w:val="22"/>
          <w:szCs w:val="22"/>
        </w:rPr>
        <w:t xml:space="preserve">Pada Abad Pertengahan, pemikir seperti Augustinus dan Thomas Aquinas merumuskan doktrin perang yang adil (</w:t>
      </w:r>
      <w:r>
        <w:rPr>
          <w:i/>
          <w:iCs/>
          <w:sz w:val="22"/>
          <w:szCs w:val="22"/>
        </w:rPr>
        <w:t xml:space="preserve">just war</w:t>
      </w:r>
      <w:r>
        <w:rPr>
          <w:sz w:val="22"/>
          <w:szCs w:val="22"/>
        </w:rPr>
        <w:t xml:space="preserve">): perang hanya sah bila punya alasan yang benar, otoritas yang sah, dan tujuan damai. Sementara itu, pedagang di Mediterania mengembangkan kebiasaan dagang dan hukum maritim yang menjadi cikal bakal hukum dagang internasional.</w:t>
      </w:r>
    </w:p>
    <w:p>
      <w:pPr>
        <w:spacing w:after="140" w:before="0" w:line="300"/>
        <w:jc w:val="both"/>
      </w:pPr>
      <w:r>
        <w:rPr>
          <w:sz w:val="22"/>
          <w:szCs w:val="22"/>
        </w:rPr>
        <w:t xml:space="preserve">Peradaban Islam mengembangkan </w:t>
      </w:r>
      <w:r>
        <w:rPr>
          <w:i/>
          <w:iCs/>
          <w:sz w:val="22"/>
          <w:szCs w:val="22"/>
        </w:rPr>
        <w:t xml:space="preserve">siyar</w:t>
      </w:r>
      <w:r>
        <w:rPr>
          <w:sz w:val="22"/>
          <w:szCs w:val="22"/>
        </w:rPr>
        <w:t xml:space="preserve">, yaitu kaidah tentang hubungan luar negeri, perang, dan perjanjian, dengan ulama seperti Muhammad al-Shaybani (abad ke-8) sebagai tokoh penting. Di Nusantara, kerajaan-kerajaan maritim seperti Sriwijaya, Samudra Pasai, dan Malaka sudah menjalin hubungan dagang dan diplomatik lintas negeri, dan komunitas pelaut Bugis-Makassar menaati kitab hukum niaga dan pelayaran yang dikenal sebagai Amanna Gappa.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3C8D5A" w:sz="28"/>
              <w:bottom w:val="none" w:color="FFFFFF" w:sz="0"/>
              <w:right w:val="none" w:color="FFFFFF" w:sz="0"/>
            </w:tcBorders>
            <w:shd w:fill="EAF4EC" w:color="auto" w:val="clear"/>
            <w:tcMar>
              <w:top w:type="dxa" w:w="140"/>
              <w:left w:type="dxa" w:w="240"/>
              <w:bottom w:type="dxa" w:w="100"/>
              <w:right w:type="dxa" w:w="220"/>
            </w:tcMar>
          </w:tcPr>
          <w:p>
            <w:pPr>
              <w:keepNext/>
              <w:spacing w:after="80" w:line="260"/>
            </w:pPr>
            <w:r>
              <w:rPr>
                <w:rFonts w:ascii="Calibri" w:cs="Calibri" w:eastAsia="Calibri" w:hAnsi="Calibri"/>
                <w:b/>
                <w:bCs/>
                <w:color w:val="3C8D5A"/>
                <w:sz w:val="22"/>
                <w:szCs w:val="22"/>
              </w:rPr>
              <w:t xml:space="preserve">Catatan Kritis: Awas Eurosentrisme</w:t>
            </w:r>
          </w:p>
          <w:p>
            <w:pPr>
              <w:spacing w:after="80" w:before="0" w:line="290"/>
              <w:jc w:val="left"/>
            </w:pPr>
            <w:r>
              <w:rPr>
                <w:sz w:val="21"/>
                <w:szCs w:val="21"/>
              </w:rPr>
              <w:t xml:space="preserve">Buku pengantar sering memulai sejarah hukum internasional dari Eropa abad ke-17 seolah wilayah lain tidak punya kontribusi. Para sarjana pendekatan </w:t>
            </w:r>
            <w:r>
              <w:rPr>
                <w:i/>
                <w:iCs/>
                <w:sz w:val="21"/>
                <w:szCs w:val="21"/>
              </w:rPr>
              <w:t xml:space="preserve">Third World Approaches to International Law</w:t>
            </w:r>
            <w:r>
              <w:rPr>
                <w:sz w:val="21"/>
                <w:szCs w:val="21"/>
              </w:rPr>
              <w:t xml:space="preserve"> (TWAIL) mengingatkan bahwa hukum internasional modern juga dibentuk oleh pengalaman kolonialisme, dan bahwa tradisi Asia, Afrika, dan dunia Islam turut memberi warna. Sebagai calon sarjana hukum Indonesia, kamu punya posisi baik untuk membaca sejarah ini dengan kacamata kritis.</w:t>
            </w:r>
          </w:p>
        </w:tc>
      </w:tr>
    </w:tbl>
    <w:p>
      <w:pPr>
        <w:spacing w:after="160" w:line="200"/>
      </w:pPr>
    </w:p>
    <w:p>
      <w:pPr>
        <w:pStyle w:val="Heading2"/>
        <w:keepNext/>
        <w:spacing w:after="120" w:before="280"/>
      </w:pPr>
      <w:r>
        <w:t xml:space="preserve">C. Kelahiran Hukum Internasional Modern</w:t>
      </w:r>
    </w:p>
    <w:p>
      <w:pPr>
        <w:spacing w:after="140" w:before="0" w:line="300"/>
        <w:jc w:val="both"/>
      </w:pPr>
      <w:r>
        <w:rPr>
          <w:sz w:val="22"/>
          <w:szCs w:val="22"/>
        </w:rPr>
        <w:t xml:space="preserve">Titik balik yang paling sering dikutip adalah </w:t>
      </w:r>
      <w:r>
        <w:rPr>
          <w:b/>
          <w:bCs/>
          <w:sz w:val="22"/>
          <w:szCs w:val="22"/>
        </w:rPr>
        <w:t xml:space="preserve">Perdamaian Westphalia 1648</w:t>
      </w:r>
      <w:r>
        <w:rPr>
          <w:sz w:val="22"/>
          <w:szCs w:val="22"/>
        </w:rPr>
        <w:t xml:space="preserve">, yang mengakhiri Perang Tiga Puluh Tahun di Eropa. Perjanjian ini meneguhkan gagasan negara berdaulat yang wilayahnya tidak boleh dicampuri pihak luar. Di sekitar masa itu, </w:t>
      </w:r>
      <w:r>
        <w:rPr>
          <w:b/>
          <w:bCs/>
          <w:sz w:val="22"/>
          <w:szCs w:val="22"/>
        </w:rPr>
        <w:t xml:space="preserve">Hugo Grotius</w:t>
      </w:r>
      <w:r>
        <w:rPr>
          <w:sz w:val="22"/>
          <w:szCs w:val="22"/>
        </w:rPr>
        <w:t xml:space="preserve"> menerbitkan </w:t>
      </w:r>
      <w:r>
        <w:rPr>
          <w:i/>
          <w:iCs/>
          <w:sz w:val="22"/>
          <w:szCs w:val="22"/>
        </w:rPr>
        <w:t xml:space="preserve">De Jure Belli ac Pacis</w:t>
      </w:r>
      <w:r>
        <w:rPr>
          <w:sz w:val="22"/>
          <w:szCs w:val="22"/>
        </w:rPr>
        <w:t xml:space="preserve"> (1625) dan </w:t>
      </w:r>
      <w:r>
        <w:rPr>
          <w:i/>
          <w:iCs/>
          <w:sz w:val="22"/>
          <w:szCs w:val="22"/>
        </w:rPr>
        <w:t xml:space="preserve">Mare Liberum</w:t>
      </w:r>
      <w:r>
        <w:rPr>
          <w:sz w:val="22"/>
          <w:szCs w:val="22"/>
        </w:rPr>
        <w:t xml:space="preserve"> (1609). Ia dijuluki "bapak hukum internasional" karena memformulasikan hukum antarbangsa secara sistematis, termasuk gagasan bahwa laut merupakan wilayah bebas untuk pelayaran. Tokoh lain yang perlu kamu kenal ialah Francisco de Vitoria dan Alberico Gentili, Cornelis van Bynkershoek, dan Emmerich de Vattel dengan karyanya </w:t>
      </w:r>
      <w:r>
        <w:rPr>
          <w:i/>
          <w:iCs/>
          <w:sz w:val="22"/>
          <w:szCs w:val="22"/>
        </w:rPr>
        <w:t xml:space="preserve">Le Droit des Gens</w:t>
      </w:r>
      <w:r>
        <w:rPr>
          <w:sz w:val="22"/>
          <w:szCs w:val="22"/>
        </w:rPr>
        <w:t xml:space="preserve"> (1758). Abad ke-19 memperkuat aliran positivisme, yakni pandangan bahwa hukum internasional adalah hasil kehendak negara.</w:t>
      </w:r>
    </w:p>
    <w:p>
      <w:pPr>
        <w:pStyle w:val="Heading2"/>
        <w:keepNext/>
        <w:spacing w:after="120" w:before="280"/>
      </w:pPr>
      <w:r>
        <w:t xml:space="preserve">D. Dari Konser Eropa ke Organisasi Dunia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00"/>
        <w:gridCol w:w="3300"/>
        <w:gridCol w:w="4526"/>
      </w:tblGrid>
      <w:tr>
        <w:trPr>
          <w:cantSplit/>
          <w:tblHeader/>
        </w:trPr>
        <w:tc>
          <w:tcPr>
            <w:tcW w:type="dxa" w:w="12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Tahun</w:t>
            </w:r>
          </w:p>
        </w:tc>
        <w:tc>
          <w:tcPr>
            <w:tcW w:type="dxa" w:w="33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Peristiwa</w:t>
            </w:r>
          </w:p>
        </w:tc>
        <w:tc>
          <w:tcPr>
            <w:tcW w:type="dxa" w:w="45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Signifikansi</w:t>
            </w:r>
          </w:p>
        </w:tc>
      </w:tr>
      <w:tr>
        <w:trPr>
          <w:cantSplit/>
        </w:trPr>
        <w:tc>
          <w:tcPr>
            <w:tcW w:type="dxa" w:w="1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1648</w:t>
            </w:r>
          </w:p>
        </w:tc>
        <w:tc>
          <w:tcPr>
            <w:tcW w:type="dxa" w:w="33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Perdamaian Westphalia</w:t>
            </w:r>
          </w:p>
        </w:tc>
        <w:tc>
          <w:tcPr>
            <w:tcW w:type="dxa" w:w="45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Simbol lahirnya negara berdaulat dan sistem antarnegara</w:t>
            </w:r>
          </w:p>
        </w:tc>
      </w:tr>
      <w:tr>
        <w:trPr>
          <w:cantSplit/>
        </w:trPr>
        <w:tc>
          <w:tcPr>
            <w:tcW w:type="dxa" w:w="1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1815</w:t>
            </w:r>
          </w:p>
        </w:tc>
        <w:tc>
          <w:tcPr>
            <w:tcW w:type="dxa" w:w="33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Kongres Wina</w:t>
            </w:r>
          </w:p>
        </w:tc>
        <w:tc>
          <w:tcPr>
            <w:tcW w:type="dxa" w:w="45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Aturan diplomasi modern dan kerja sama negara-negara besar Eropa</w:t>
            </w:r>
          </w:p>
        </w:tc>
      </w:tr>
      <w:tr>
        <w:trPr>
          <w:cantSplit/>
        </w:trPr>
        <w:tc>
          <w:tcPr>
            <w:tcW w:type="dxa" w:w="1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1899 dan 1907</w:t>
            </w:r>
          </w:p>
        </w:tc>
        <w:tc>
          <w:tcPr>
            <w:tcW w:type="dxa" w:w="33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Konferensi Perdamaian Den Haag</w:t>
            </w:r>
          </w:p>
        </w:tc>
        <w:tc>
          <w:tcPr>
            <w:tcW w:type="dxa" w:w="45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Kodifikasi hukum perang; pembentukan Permanent Court of Arbitration (1899)</w:t>
            </w:r>
          </w:p>
        </w:tc>
      </w:tr>
      <w:tr>
        <w:trPr>
          <w:cantSplit/>
        </w:trPr>
        <w:tc>
          <w:tcPr>
            <w:tcW w:type="dxa" w:w="1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1919</w:t>
            </w:r>
          </w:p>
        </w:tc>
        <w:tc>
          <w:tcPr>
            <w:tcW w:type="dxa" w:w="33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Liga Bangsa-Bangsa (LBB)</w:t>
            </w:r>
          </w:p>
        </w:tc>
        <w:tc>
          <w:tcPr>
            <w:tcW w:type="dxa" w:w="45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Organisasi keamanan kolektif pertama; lahir dari Perjanjian Versailles</w:t>
            </w:r>
          </w:p>
        </w:tc>
      </w:tr>
      <w:tr>
        <w:trPr>
          <w:cantSplit/>
        </w:trPr>
        <w:tc>
          <w:tcPr>
            <w:tcW w:type="dxa" w:w="1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1922</w:t>
            </w:r>
          </w:p>
        </w:tc>
        <w:tc>
          <w:tcPr>
            <w:tcW w:type="dxa" w:w="33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Permanent Court of International Justice (PCIJ)</w:t>
            </w:r>
          </w:p>
        </w:tc>
        <w:tc>
          <w:tcPr>
            <w:tcW w:type="dxa" w:w="45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Mahkamah permanen pertama; cikal bakal ICJ</w:t>
            </w:r>
          </w:p>
        </w:tc>
      </w:tr>
      <w:tr>
        <w:trPr>
          <w:cantSplit/>
        </w:trPr>
        <w:tc>
          <w:tcPr>
            <w:tcW w:type="dxa" w:w="1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1928</w:t>
            </w:r>
          </w:p>
        </w:tc>
        <w:tc>
          <w:tcPr>
            <w:tcW w:type="dxa" w:w="33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Pakta Briand-Kellogg</w:t>
            </w:r>
          </w:p>
        </w:tc>
        <w:tc>
          <w:tcPr>
            <w:tcW w:type="dxa" w:w="45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Upaya pertama menyatakan perang sebagai instrumen kebijakan nasional terlarang</w:t>
            </w:r>
          </w:p>
        </w:tc>
      </w:tr>
      <w:tr>
        <w:trPr>
          <w:cantSplit/>
        </w:trPr>
        <w:tc>
          <w:tcPr>
            <w:tcW w:type="dxa" w:w="1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1945</w:t>
            </w:r>
          </w:p>
        </w:tc>
        <w:tc>
          <w:tcPr>
            <w:tcW w:type="dxa" w:w="33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Piagam PBB (berlaku 24 Oktober); Pengadilan Nuremberg</w:t>
            </w:r>
          </w:p>
        </w:tc>
        <w:tc>
          <w:tcPr>
            <w:tcW w:type="dxa" w:w="45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Larangan penggunaan kekerasan; pertanggungjawaban pidana individu</w:t>
            </w:r>
          </w:p>
        </w:tc>
      </w:tr>
      <w:tr>
        <w:trPr>
          <w:cantSplit/>
        </w:trPr>
        <w:tc>
          <w:tcPr>
            <w:tcW w:type="dxa" w:w="1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1948</w:t>
            </w:r>
          </w:p>
        </w:tc>
        <w:tc>
          <w:tcPr>
            <w:tcW w:type="dxa" w:w="33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Deklarasi Universal HAM; Konvensi Genosida</w:t>
            </w:r>
          </w:p>
        </w:tc>
        <w:tc>
          <w:tcPr>
            <w:tcW w:type="dxa" w:w="45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Individu memasuki panggung hukum internasional</w:t>
            </w:r>
          </w:p>
        </w:tc>
      </w:tr>
      <w:tr>
        <w:trPr>
          <w:cantSplit/>
        </w:trPr>
        <w:tc>
          <w:tcPr>
            <w:tcW w:type="dxa" w:w="1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1949</w:t>
            </w:r>
          </w:p>
        </w:tc>
        <w:tc>
          <w:tcPr>
            <w:tcW w:type="dxa" w:w="33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Empat Konvensi Jenewa</w:t>
            </w:r>
          </w:p>
        </w:tc>
        <w:tc>
          <w:tcPr>
            <w:tcW w:type="dxa" w:w="45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Fondasi hukum humaniter modern</w:t>
            </w:r>
          </w:p>
        </w:tc>
      </w:tr>
      <w:tr>
        <w:trPr>
          <w:cantSplit/>
        </w:trPr>
        <w:tc>
          <w:tcPr>
            <w:tcW w:type="dxa" w:w="1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1982</w:t>
            </w:r>
          </w:p>
        </w:tc>
        <w:tc>
          <w:tcPr>
            <w:tcW w:type="dxa" w:w="33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UNCLOS</w:t>
            </w:r>
          </w:p>
        </w:tc>
        <w:tc>
          <w:tcPr>
            <w:tcW w:type="dxa" w:w="45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Konstitusi laut dunia</w:t>
            </w:r>
          </w:p>
        </w:tc>
      </w:tr>
      <w:tr>
        <w:trPr>
          <w:cantSplit/>
        </w:trPr>
        <w:tc>
          <w:tcPr>
            <w:tcW w:type="dxa" w:w="1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1998 / 2002</w:t>
            </w:r>
          </w:p>
        </w:tc>
        <w:tc>
          <w:tcPr>
            <w:tcW w:type="dxa" w:w="33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Statuta Roma diadopsi / ICC beroperasi</w:t>
            </w:r>
          </w:p>
        </w:tc>
        <w:tc>
          <w:tcPr>
            <w:tcW w:type="dxa" w:w="45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Pengadilan pidana internasional permanen</w:t>
            </w:r>
          </w:p>
        </w:tc>
      </w:tr>
      <w:tr>
        <w:trPr>
          <w:cantSplit/>
        </w:trPr>
        <w:tc>
          <w:tcPr>
            <w:tcW w:type="dxa" w:w="1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2015</w:t>
            </w:r>
          </w:p>
        </w:tc>
        <w:tc>
          <w:tcPr>
            <w:tcW w:type="dxa" w:w="33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Persetujuan Paris</w:t>
            </w:r>
          </w:p>
        </w:tc>
        <w:tc>
          <w:tcPr>
            <w:tcW w:type="dxa" w:w="45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Tonggak hukum internasional perubahan iklim</w:t>
            </w:r>
          </w:p>
        </w:tc>
      </w:tr>
    </w:tbl>
    <w:p>
      <w:pPr>
        <w:spacing w:after="160" w:line="200"/>
      </w:pPr>
    </w:p>
    <w:p>
      <w:pPr>
        <w:spacing w:after="140" w:before="0" w:line="300"/>
        <w:jc w:val="both"/>
      </w:pPr>
      <w:r>
        <w:rPr>
          <w:sz w:val="22"/>
          <w:szCs w:val="22"/>
        </w:rPr>
        <w:t xml:space="preserve">Kegagalan LBB mencegah Perang Dunia II mengajarkan bahwa organisasi tanpa kekuatan keamanan yang efektif akan rapuh. PBB, yang lahir pada 1945, dirancang lebih kuat, misalnya dengan Dewan Keamanan yang dapat mengeluarkan keputusan mengikat. Namun, hak veto lima anggota tetap tetap menjadi kritik yang tak kunjung selesai.</w:t>
      </w:r>
    </w:p>
    <w:p>
      <w:pPr>
        <w:pStyle w:val="Heading2"/>
        <w:keepNext/>
        <w:spacing w:after="120" w:before="280"/>
      </w:pPr>
      <w:r>
        <w:t xml:space="preserve">E. Dekolonisasi dan Indonesia di Panggung Hukum Internasional</w:t>
      </w:r>
    </w:p>
    <w:p>
      <w:pPr>
        <w:spacing w:after="140" w:before="0" w:line="300"/>
        <w:jc w:val="both"/>
      </w:pPr>
      <w:r>
        <w:rPr>
          <w:sz w:val="22"/>
          <w:szCs w:val="22"/>
        </w:rPr>
        <w:t xml:space="preserve">Setelah 1945, puluhan koloni merdeka dan mengubah komposisi masyarakat internasional. Negara-negara baru ini membawa kepentingan baru: kedaulatan atas sumber daya alam, hak menentukan nasib sendiri, dan tatanan ekonomi yang lebih adil. Majelis Umum PBB melalui Resolusi 1514 (XV) tahun 1960 menegaskan bahwa penjajahan bertentangan dengan Piagam PBB.</w:t>
      </w:r>
    </w:p>
    <w:p>
      <w:pPr>
        <w:spacing w:after="140" w:before="0" w:line="300"/>
        <w:jc w:val="both"/>
      </w:pPr>
      <w:r>
        <w:rPr>
          <w:sz w:val="22"/>
          <w:szCs w:val="22"/>
        </w:rPr>
        <w:t xml:space="preserve">Indonesia bukan penonton. Beberapa jejak pentingnya:</w:t>
      </w:r>
    </w:p>
    <w:p>
      <w:pPr>
        <w:pStyle w:val="ListParagraph"/>
        <w:numPr>
          <w:ilvl w:val="0"/>
          <w:numId w:val="2"/>
        </w:numPr>
        <w:spacing w:after="80" w:line="290"/>
        <w:jc w:val="left"/>
      </w:pPr>
      <w:r>
        <w:rPr>
          <w:b/>
          <w:bCs/>
          <w:sz w:val="22"/>
          <w:szCs w:val="22"/>
        </w:rPr>
        <w:t xml:space="preserve">Konferensi Asia-Afrika, Bandung 1955</w:t>
      </w:r>
      <w:r>
        <w:rPr>
          <w:sz w:val="22"/>
          <w:szCs w:val="22"/>
        </w:rPr>
        <w:t xml:space="preserve">, yang menelurkan Dasasila Bandung, mengikrarkan prinsip seperti penghormatan kedaulatan, kesetaraan bangsa, dan penyelesaian sengketa secara damai.</w:t>
      </w:r>
    </w:p>
    <w:p>
      <w:pPr>
        <w:pStyle w:val="ListParagraph"/>
        <w:numPr>
          <w:ilvl w:val="0"/>
          <w:numId w:val="2"/>
        </w:numPr>
        <w:spacing w:after="80" w:line="290"/>
        <w:jc w:val="left"/>
      </w:pPr>
      <w:r>
        <w:rPr>
          <w:b/>
          <w:bCs/>
          <w:sz w:val="22"/>
          <w:szCs w:val="22"/>
        </w:rPr>
        <w:t xml:space="preserve">Deklarasi Djuanda, 13 Desember 1957</w:t>
      </w:r>
      <w:r>
        <w:rPr>
          <w:sz w:val="22"/>
          <w:szCs w:val="22"/>
        </w:rPr>
        <w:t xml:space="preserve">, yang menyatakan bahwa laut di antara pulau-pulau Indonesia merupakan satu kesatuan wilayah. Gagasan ini kemudian diadopsi dalam konsep negara kepulauan pada UNCLOS 1982.</w:t>
      </w:r>
    </w:p>
    <w:p>
      <w:pPr>
        <w:pStyle w:val="ListParagraph"/>
        <w:numPr>
          <w:ilvl w:val="0"/>
          <w:numId w:val="2"/>
        </w:numPr>
        <w:spacing w:after="80" w:line="290"/>
        <w:jc w:val="left"/>
      </w:pPr>
      <w:r>
        <w:rPr>
          <w:b/>
          <w:bCs/>
          <w:sz w:val="22"/>
          <w:szCs w:val="22"/>
        </w:rPr>
        <w:t xml:space="preserve">Gerakan Non-Blok (1961)</w:t>
      </w:r>
      <w:r>
        <w:rPr>
          <w:sz w:val="22"/>
          <w:szCs w:val="22"/>
        </w:rPr>
        <w:t xml:space="preserve"> dan </w:t>
      </w:r>
      <w:r>
        <w:rPr>
          <w:b/>
          <w:bCs/>
          <w:sz w:val="22"/>
          <w:szCs w:val="22"/>
        </w:rPr>
        <w:t xml:space="preserve">ASEAN (1967)</w:t>
      </w:r>
      <w:r>
        <w:rPr>
          <w:sz w:val="22"/>
          <w:szCs w:val="22"/>
        </w:rPr>
        <w:t xml:space="preserve">, dua forum yang Indonesia ikut mendirikan.</w:t>
      </w:r>
    </w:p>
    <w:p>
      <w:pPr>
        <w:spacing w:after="8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Tahukah Kamu?</w:t>
            </w:r>
          </w:p>
          <w:p>
            <w:pPr>
              <w:spacing w:after="80" w:before="0" w:line="290"/>
              <w:jc w:val="left"/>
            </w:pPr>
            <w:r>
              <w:rPr>
                <w:sz w:val="21"/>
                <w:szCs w:val="21"/>
              </w:rPr>
              <w:t xml:space="preserve">Ide "negara kepulauan" yang kini tercantum dalam Bab IV UNCLOS berawal dari perjuangan diplomasi panjang Indonesia setelah Deklarasi Djuanda. Artinya, sebagian pasal dalam konvensi internasional yang berpengaruh besar itu lahir dari kepentingan dan gagasan bangsa kita.</w:t>
            </w:r>
          </w:p>
        </w:tc>
      </w:tr>
    </w:tbl>
    <w:p>
      <w:pPr>
        <w:spacing w:after="160" w:line="200"/>
      </w:pPr>
    </w:p>
    <w:p>
      <w:pPr>
        <w:pStyle w:val="Heading2"/>
        <w:keepNext/>
        <w:spacing w:after="120" w:before="280"/>
      </w:pPr>
      <w:r>
        <w:t xml:space="preserve">F. Wajah Kontemporer: Lebih Banyak Aturan, Lebih Banyak Pengadilan</w:t>
      </w:r>
    </w:p>
    <w:p>
      <w:pPr>
        <w:spacing w:after="140" w:before="0" w:line="300"/>
        <w:jc w:val="both"/>
      </w:pPr>
      <w:r>
        <w:rPr>
          <w:sz w:val="22"/>
          <w:szCs w:val="22"/>
        </w:rPr>
        <w:t xml:space="preserve">Sejak akhir Perang Dingin, hukum internasional makin luas dan spesialis: perdagangan (WTO, 1995), kejahatan internasional (ICC), lingkungan, investasi, hingga ruang siber. Pada saat yang sama muncul gejala fragmentasi, yaitu banyaknya rezim dan forum penyelesaian sengketa yang kadang tumpang tindih. Tantangan hukum internasional abad ke-21 adalah menjaga koherensi di tengah pluralisme itu.</w:t>
      </w: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Hukum internasional tumbuh dari praktik kuno berupa perjanjian, diplomasi, dan aturan perang di berbagai peradaban.</w:t>
            </w:r>
          </w:p>
          <w:p>
            <w:pPr>
              <w:pStyle w:val="ListParagraph"/>
              <w:numPr>
                <w:ilvl w:val="0"/>
                <w:numId w:val="2"/>
              </w:numPr>
              <w:spacing w:after="80" w:line="290"/>
              <w:jc w:val="left"/>
            </w:pPr>
            <w:r>
              <w:rPr>
                <w:sz w:val="21"/>
                <w:szCs w:val="21"/>
              </w:rPr>
              <w:t xml:space="preserve">Perdamaian Westphalia 1648 dan pemikiran Grotius menandai kelahiran hukum internasional modern.</w:t>
            </w:r>
          </w:p>
          <w:p>
            <w:pPr>
              <w:pStyle w:val="ListParagraph"/>
              <w:numPr>
                <w:ilvl w:val="0"/>
                <w:numId w:val="2"/>
              </w:numPr>
              <w:spacing w:after="80" w:line="290"/>
              <w:jc w:val="left"/>
            </w:pPr>
            <w:r>
              <w:rPr>
                <w:sz w:val="21"/>
                <w:szCs w:val="21"/>
              </w:rPr>
              <w:t xml:space="preserve">LBB gagal, PBB (1945) memperkuat sistem keamanan kolektif dan mengubah hukum internasional menjadi lebih peduli pada manusia.</w:t>
            </w:r>
          </w:p>
          <w:p>
            <w:pPr>
              <w:pStyle w:val="ListParagraph"/>
              <w:numPr>
                <w:ilvl w:val="0"/>
                <w:numId w:val="2"/>
              </w:numPr>
              <w:spacing w:after="80" w:line="290"/>
              <w:jc w:val="left"/>
            </w:pPr>
            <w:r>
              <w:rPr>
                <w:sz w:val="21"/>
                <w:szCs w:val="21"/>
              </w:rPr>
              <w:t xml:space="preserve">Dekolonisasi mengubah wajah hukum internasional; Indonesia berperan lewat Bandung 1955, Deklarasi Djuanda, dan UNCLOS.</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Westphalia  •  Grotius  •  positivisme  •  Liga Bangsa-Bangsa  •  PBB  •  dekolonisasi  •  Deklarasi Djuanda  •  TWAIL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4"/>
              </w:numPr>
              <w:spacing w:after="80" w:line="290"/>
              <w:jc w:val="left"/>
            </w:pPr>
            <w:r>
              <w:rPr>
                <w:sz w:val="21"/>
                <w:szCs w:val="21"/>
              </w:rPr>
              <w:t xml:space="preserve">Mengapa Perdamaian Westphalia dianggap sebagai tonggak, dan apa kritik terhadap pandangan tersebut?</w:t>
            </w:r>
          </w:p>
          <w:p>
            <w:pPr>
              <w:pStyle w:val="ListParagraph"/>
              <w:numPr>
                <w:ilvl w:val="0"/>
                <w:numId w:val="4"/>
              </w:numPr>
              <w:spacing w:after="80" w:line="290"/>
              <w:jc w:val="left"/>
            </w:pPr>
            <w:r>
              <w:rPr>
                <w:sz w:val="21"/>
                <w:szCs w:val="21"/>
              </w:rPr>
              <w:t xml:space="preserve">Apa pelajaran dari kegagalan Liga Bangsa-Bangsa bagi desain organisasi internasional saat ini?</w:t>
            </w:r>
          </w:p>
          <w:p>
            <w:pPr>
              <w:pStyle w:val="ListParagraph"/>
              <w:numPr>
                <w:ilvl w:val="0"/>
                <w:numId w:val="4"/>
              </w:numPr>
              <w:spacing w:after="80" w:line="290"/>
              <w:jc w:val="left"/>
            </w:pPr>
            <w:r>
              <w:rPr>
                <w:sz w:val="21"/>
                <w:szCs w:val="21"/>
              </w:rPr>
              <w:t xml:space="preserve">Bagaimana Deklarasi Djuanda mengubah kedudukan Indonesia dalam hukum laut internasional?</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Membangun Linimasa Kolaboratif (30 menit).</w:t>
            </w:r>
            <w:r>
              <w:rPr>
                <w:sz w:val="21"/>
                <w:szCs w:val="21"/>
              </w:rPr>
              <w:t xml:space="preserve"> Dalam kelompok, buat linimasa digital (misalnya di Canva, Padlet, atau Miro) dengan lima peristiwa yang menurut kelompok paling menentukan. Kelompok wajib menyertakan minimal satu peristiwa non-Eropa, lalu mempresentasikan alasannya dalam dua menit.</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"Aku sedang belajar sejarah hukum internasional. Buatkan tiga kartu belajar (flashcard) tentang Perdamaian Westphalia, Kongres Wina, dan Konferensi Den Haag 1899 dan 1907, masing-masing memuat tahun, tokoh atau pihak utama, dan dampak hukumnya. Setelah itu, uji aku dengan kuis singkat."</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(bab sejarah); Antonio Cassese, </w:t>
      </w:r>
      <w:r>
        <w:rPr>
          <w:i/>
          <w:iCs/>
          <w:color w:val="595959"/>
          <w:sz w:val="20"/>
          <w:szCs w:val="20"/>
        </w:rPr>
        <w:t xml:space="preserve">International Law</w:t>
      </w:r>
      <w:r>
        <w:rPr>
          <w:color w:val="595959"/>
          <w:sz w:val="20"/>
          <w:szCs w:val="20"/>
        </w:rPr>
        <w:t xml:space="preserve">; Ahmad Syofyan (2022); Boer Mauna, </w:t>
      </w:r>
      <w:r>
        <w:rPr>
          <w:i/>
          <w:iCs/>
          <w:color w:val="595959"/>
          <w:sz w:val="20"/>
          <w:szCs w:val="20"/>
        </w:rPr>
        <w:t xml:space="preserve">Hukum Internasional</w:t>
      </w:r>
      <w:r>
        <w:rPr>
          <w:color w:val="595959"/>
          <w:sz w:val="20"/>
          <w:szCs w:val="20"/>
        </w:rPr>
        <w:t xml:space="preserve">.</w:t>
      </w:r>
    </w:p>
    <w:p>
      <w:pPr>
        <w:keepNext/>
        <w:pageBreakBefore/>
        <w:spacing w:after="60"/>
      </w:pPr>
      <w:r>
        <w:rPr>
          <w:rFonts w:ascii="Calibri" w:cs="Calibri" w:eastAsia="Calibri" w:hAnsi="Calibri"/>
          <w:b/>
          <w:bCs/>
          <w:color w:val="B8892B"/>
          <w:spacing w:val="60"/>
          <w:sz w:val="22"/>
          <w:szCs w:val="22"/>
        </w:rPr>
        <w:t xml:space="preserve">BAB 3   |   PERTEMUAN 3</w:t>
      </w:r>
    </w:p>
    <w:p>
      <w:pPr>
        <w:pStyle w:val="Heading1"/>
        <w:keepNext/>
        <w:pBdr>
          <w:bottom w:val="single" w:color="B8892B" w:sz="12" w:space="6"/>
        </w:pBdr>
        <w:spacing w:after="100"/>
      </w:pPr>
      <w:r>
        <w:t xml:space="preserve">Mencari "Undang-Undang" Dunia yang Tak Punya Parlemen</w:t>
      </w:r>
    </w:p>
    <w:p>
      <w:pPr>
        <w:spacing w:after="200"/>
      </w:pPr>
      <w:r>
        <w:rPr>
          <w:rFonts w:ascii="Cambria" w:cs="Cambria" w:eastAsia="Cambria" w:hAnsi="Cambria"/>
          <w:i/>
          <w:iCs/>
          <w:color w:val="595959"/>
          <w:sz w:val="26"/>
          <w:szCs w:val="26"/>
        </w:rPr>
        <w:t xml:space="preserve">Sumber Hukum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Hakim Tanpa Kitab Undang-Undang</w:t>
            </w:r>
          </w:p>
          <w:p>
            <w:pPr>
              <w:spacing w:after="80" w:before="0" w:line="290"/>
              <w:jc w:val="left"/>
            </w:pPr>
            <w:r>
              <w:rPr>
                <w:sz w:val="21"/>
                <w:szCs w:val="21"/>
              </w:rPr>
              <w:t xml:space="preserve">Bayangkan kamu menjadi hakim di Mahkamah Internasional. Dua negara berperkara, dan kamu harus menentukan hukum yang berlaku. Di dalam negeri, kamu cukup membuka undang-undang. Di sini, tak ada KUHP dunia, tak ada kitab undang-undang tunggal. Lalu ke mana hakim mencari hukumnya? Jawabannya tersimpan dalam satu pasal pendek yang menjadi pasal paling sering dikutip dalam hukum internasional: Pasal 38 Statuta Mahkamah Internasional.</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menyebutkan dan menjelaskan sumber-sumber hukum internasional menurut Pasal 38 Statuta ICJ;</w:t>
            </w:r>
          </w:p>
          <w:p>
            <w:pPr>
              <w:pStyle w:val="ListParagraph"/>
              <w:numPr>
                <w:ilvl w:val="0"/>
                <w:numId w:val="2"/>
              </w:numPr>
              <w:spacing w:after="80" w:line="290"/>
              <w:jc w:val="left"/>
            </w:pPr>
            <w:r>
              <w:rPr>
                <w:sz w:val="21"/>
                <w:szCs w:val="21"/>
              </w:rPr>
              <w:t xml:space="preserve">menganalisis unsur pembentuk kebiasaan internasional dan menerapkannya pada kasus;</w:t>
            </w:r>
          </w:p>
          <w:p>
            <w:pPr>
              <w:pStyle w:val="ListParagraph"/>
              <w:numPr>
                <w:ilvl w:val="0"/>
                <w:numId w:val="2"/>
              </w:numPr>
              <w:spacing w:after="80" w:line="290"/>
              <w:jc w:val="left"/>
            </w:pPr>
            <w:r>
              <w:rPr>
                <w:sz w:val="21"/>
                <w:szCs w:val="21"/>
              </w:rPr>
              <w:t xml:space="preserve">membedakan sumber hukum utama dan sumber tambahan, serta memahami </w:t>
            </w:r>
            <w:r>
              <w:rPr>
                <w:i/>
                <w:iCs/>
                <w:sz w:val="21"/>
                <w:szCs w:val="21"/>
              </w:rPr>
              <w:t xml:space="preserve">soft law</w:t>
            </w:r>
            <w:r>
              <w:rPr>
                <w:sz w:val="21"/>
                <w:szCs w:val="21"/>
              </w:rPr>
              <w:t xml:space="preserve">, </w:t>
            </w:r>
            <w:r>
              <w:rPr>
                <w:i/>
                <w:iCs/>
                <w:sz w:val="21"/>
                <w:szCs w:val="21"/>
              </w:rPr>
              <w:t xml:space="preserve">jus cogens</w:t>
            </w:r>
            <w:r>
              <w:rPr>
                <w:sz w:val="21"/>
                <w:szCs w:val="21"/>
              </w:rPr>
              <w:t xml:space="preserve">, dan </w:t>
            </w:r>
            <w:r>
              <w:rPr>
                <w:i/>
                <w:iCs/>
                <w:sz w:val="21"/>
                <w:szCs w:val="21"/>
              </w:rPr>
              <w:t xml:space="preserve">erga omnes</w:t>
            </w:r>
            <w:r>
              <w:rPr>
                <w:sz w:val="21"/>
                <w:szCs w:val="21"/>
              </w:rPr>
              <w:t xml:space="preserve">;</w:t>
            </w:r>
          </w:p>
          <w:p>
            <w:pPr>
              <w:pStyle w:val="ListParagraph"/>
              <w:numPr>
                <w:ilvl w:val="0"/>
                <w:numId w:val="2"/>
              </w:numPr>
              <w:spacing w:after="80" w:line="290"/>
              <w:jc w:val="left"/>
            </w:pPr>
            <w:r>
              <w:rPr>
                <w:sz w:val="21"/>
                <w:szCs w:val="21"/>
              </w:rPr>
              <w:t xml:space="preserve">menggunakan Pasal 38 sebagai kerangka analisis atas suatu sengketa.</w:t>
            </w:r>
          </w:p>
        </w:tc>
      </w:tr>
    </w:tbl>
    <w:p>
      <w:pPr>
        <w:spacing w:after="160" w:line="200"/>
      </w:pPr>
    </w:p>
    <w:p>
      <w:pPr>
        <w:pStyle w:val="Heading2"/>
        <w:keepNext/>
        <w:spacing w:after="120" w:before="280"/>
      </w:pPr>
      <w:r>
        <w:t xml:space="preserve">A. Pasal 38 Statuta ICJ: "Daftar Belanja" Hakim</w:t>
      </w:r>
    </w:p>
    <w:p>
      <w:pPr>
        <w:spacing w:after="140" w:before="0" w:line="300"/>
        <w:jc w:val="both"/>
      </w:pPr>
      <w:r>
        <w:rPr>
          <w:sz w:val="22"/>
          <w:szCs w:val="22"/>
        </w:rPr>
        <w:t xml:space="preserve">Pasal 38 ayat (1) Statuta ICJ memerintahkan Mahkamah memutus sengketa berdasarkan hukum internasional dengan menerapkan hal-hal berikut. Meskipun pasal ini secara teknis ditujukan kepada ICJ, ia diterima luas sebagai rujukan tentang sumber hukum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00"/>
        <w:gridCol w:w="3000"/>
        <w:gridCol w:w="2226"/>
        <w:gridCol w:w="3000"/>
      </w:tblGrid>
      <w:tr>
        <w:trPr>
          <w:cantSplit/>
          <w:tblHeader/>
        </w:trPr>
        <w:tc>
          <w:tcPr>
            <w:tcW w:type="dxa" w:w="8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Huruf</w:t>
            </w:r>
          </w:p>
        </w:tc>
        <w:tc>
          <w:tcPr>
            <w:tcW w:type="dxa" w:w="30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Sumber</w:t>
            </w:r>
          </w:p>
        </w:tc>
        <w:tc>
          <w:tcPr>
            <w:tcW w:type="dxa" w:w="22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Kedudukan</w:t>
            </w:r>
          </w:p>
        </w:tc>
        <w:tc>
          <w:tcPr>
            <w:tcW w:type="dxa" w:w="30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Contoh</w:t>
            </w:r>
          </w:p>
        </w:tc>
      </w:tr>
      <w:tr>
        <w:trPr>
          <w:cantSplit/>
        </w:trPr>
        <w:tc>
          <w:tcPr>
            <w:tcW w:type="dxa" w:w="8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a</w:t>
            </w:r>
          </w:p>
        </w:tc>
        <w:tc>
          <w:tcPr>
            <w:tcW w:type="dxa" w:w="3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Perjanjian internasional</w:t>
            </w:r>
          </w:p>
        </w:tc>
        <w:tc>
          <w:tcPr>
            <w:tcW w:type="dxa" w:w="22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Sumber utama</w:t>
            </w:r>
          </w:p>
        </w:tc>
        <w:tc>
          <w:tcPr>
            <w:tcW w:type="dxa" w:w="3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Piagam PBB, UNCLOS 1982, Konvensi Wina 1969</w:t>
            </w:r>
          </w:p>
        </w:tc>
      </w:tr>
      <w:tr>
        <w:trPr>
          <w:cantSplit/>
        </w:trPr>
        <w:tc>
          <w:tcPr>
            <w:tcW w:type="dxa" w:w="8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w:t>
            </w:r>
          </w:p>
        </w:tc>
        <w:tc>
          <w:tcPr>
            <w:tcW w:type="dxa" w:w="3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Kebiasaan internasional sebagai bukti praktik umum yang diterima sebagai hukum</w:t>
            </w:r>
          </w:p>
        </w:tc>
        <w:tc>
          <w:tcPr>
            <w:tcW w:type="dxa" w:w="22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Sumber utama</w:t>
            </w:r>
          </w:p>
        </w:tc>
        <w:tc>
          <w:tcPr>
            <w:tcW w:type="dxa" w:w="3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Kekebalan kepala negara, kebebasan laut lepas (sebelum dikodifikasi)</w:t>
            </w:r>
          </w:p>
        </w:tc>
      </w:tr>
      <w:tr>
        <w:trPr>
          <w:cantSplit/>
        </w:trPr>
        <w:tc>
          <w:tcPr>
            <w:tcW w:type="dxa" w:w="8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c</w:t>
            </w:r>
          </w:p>
        </w:tc>
        <w:tc>
          <w:tcPr>
            <w:tcW w:type="dxa" w:w="3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Prinsip-prinsip hukum umum yang diakui bangsa-bangsa</w:t>
            </w:r>
          </w:p>
        </w:tc>
        <w:tc>
          <w:tcPr>
            <w:tcW w:type="dxa" w:w="22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Sumber utama</w:t>
            </w:r>
          </w:p>
        </w:tc>
        <w:tc>
          <w:tcPr>
            <w:tcW w:type="dxa" w:w="3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Itikad baik, </w:t>
            </w:r>
            <w:r>
              <w:rPr>
                <w:i/>
                <w:iCs/>
                <w:sz w:val="20"/>
                <w:szCs w:val="20"/>
              </w:rPr>
              <w:t xml:space="preserve">res judicata</w:t>
            </w:r>
            <w:r>
              <w:rPr>
                <w:sz w:val="20"/>
                <w:szCs w:val="20"/>
              </w:rPr>
              <w:t xml:space="preserve">, kewajiban mengganti kerugian</w:t>
            </w:r>
          </w:p>
        </w:tc>
      </w:tr>
      <w:tr>
        <w:trPr>
          <w:cantSplit/>
        </w:trPr>
        <w:tc>
          <w:tcPr>
            <w:tcW w:type="dxa" w:w="8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w:t>
            </w:r>
          </w:p>
        </w:tc>
        <w:tc>
          <w:tcPr>
            <w:tcW w:type="dxa" w:w="3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Putusan pengadilan dan pendapat para ahli terkemuka</w:t>
            </w:r>
          </w:p>
        </w:tc>
        <w:tc>
          <w:tcPr>
            <w:tcW w:type="dxa" w:w="22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Sarana tambahan</w:t>
            </w:r>
          </w:p>
        </w:tc>
        <w:tc>
          <w:tcPr>
            <w:tcW w:type="dxa" w:w="3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Putusan ICJ, tulisan Grotius, Oppenheim, Brownlie</w:t>
            </w:r>
          </w:p>
        </w:tc>
      </w:tr>
    </w:tbl>
    <w:p>
      <w:pPr>
        <w:spacing w:after="160" w:line="200"/>
      </w:pPr>
    </w:p>
    <w:p>
      <w:pPr>
        <w:spacing w:after="140" w:before="0" w:line="300"/>
        <w:jc w:val="both"/>
      </w:pPr>
      <w:r>
        <w:rPr>
          <w:sz w:val="22"/>
          <w:szCs w:val="22"/>
        </w:rPr>
        <w:t xml:space="preserve">Pasal 38 ayat (2) menambahkan bahwa Mahkamah dapat memutus </w:t>
      </w:r>
      <w:r>
        <w:rPr>
          <w:i/>
          <w:iCs/>
          <w:sz w:val="22"/>
          <w:szCs w:val="22"/>
        </w:rPr>
        <w:t xml:space="preserve">ex aequo et bono</w:t>
      </w:r>
      <w:r>
        <w:rPr>
          <w:sz w:val="22"/>
          <w:szCs w:val="22"/>
        </w:rPr>
        <w:t xml:space="preserve"> (berdasarkan kepatutan dan kelayakan) bila para pihak menyetujuinya. Perhatikan bahwa rumusan "bangsa-bangsa beradab" pada huruf (c) dikritik sebagai peninggalan pola pikir kolonial, dan kini dimaknai sebagai semua sistem hukum utama dunia.</w:t>
      </w:r>
    </w:p>
    <w:p>
      <w:pPr>
        <w:pStyle w:val="Heading2"/>
        <w:keepNext/>
        <w:spacing w:after="120" w:before="280"/>
      </w:pPr>
      <w:r>
        <w:t xml:space="preserve">B. Perjanjian Internasional: Sumber yang Paling Terang</w:t>
      </w:r>
    </w:p>
    <w:p>
      <w:pPr>
        <w:spacing w:after="140" w:before="0" w:line="300"/>
        <w:jc w:val="both"/>
      </w:pPr>
      <w:r>
        <w:rPr>
          <w:sz w:val="22"/>
          <w:szCs w:val="22"/>
        </w:rPr>
        <w:t xml:space="preserve">Perjanjian adalah kesepakatan tertulis yang diatur hukum internasional. Ia hanya mengikat pihak-pihak yang menyetujuinya (asas </w:t>
      </w:r>
      <w:r>
        <w:rPr>
          <w:i/>
          <w:iCs/>
          <w:sz w:val="22"/>
          <w:szCs w:val="22"/>
        </w:rPr>
        <w:t xml:space="preserve">pacta tertiis nec nocent nec prosunt</w:t>
      </w:r>
      <w:r>
        <w:rPr>
          <w:sz w:val="22"/>
          <w:szCs w:val="22"/>
        </w:rPr>
        <w:t xml:space="preserve">). Para ahli membedakan </w:t>
      </w:r>
      <w:r>
        <w:rPr>
          <w:b/>
          <w:bCs/>
          <w:sz w:val="22"/>
          <w:szCs w:val="22"/>
        </w:rPr>
        <w:t xml:space="preserve">perjanjian pembentuk hukum</w:t>
      </w:r>
      <w:r>
        <w:rPr>
          <w:sz w:val="22"/>
          <w:szCs w:val="22"/>
        </w:rPr>
        <w:t xml:space="preserve"> (</w:t>
      </w:r>
      <w:r>
        <w:rPr>
          <w:i/>
          <w:iCs/>
          <w:sz w:val="22"/>
          <w:szCs w:val="22"/>
        </w:rPr>
        <w:t xml:space="preserve">law-making treaties</w:t>
      </w:r>
      <w:r>
        <w:rPr>
          <w:sz w:val="22"/>
          <w:szCs w:val="22"/>
        </w:rPr>
        <w:t xml:space="preserve">) yang berisi kaidah umum dan diikuti banyak negara, seperti Piagam PBB dan UNCLOS, dari </w:t>
      </w:r>
      <w:r>
        <w:rPr>
          <w:b/>
          <w:bCs/>
          <w:sz w:val="22"/>
          <w:szCs w:val="22"/>
        </w:rPr>
        <w:t xml:space="preserve">perjanjian kontrak</w:t>
      </w:r>
      <w:r>
        <w:rPr>
          <w:sz w:val="22"/>
          <w:szCs w:val="22"/>
        </w:rPr>
        <w:t xml:space="preserve"> (</w:t>
      </w:r>
      <w:r>
        <w:rPr>
          <w:i/>
          <w:iCs/>
          <w:sz w:val="22"/>
          <w:szCs w:val="22"/>
        </w:rPr>
        <w:t xml:space="preserve">treaty contracts</w:t>
      </w:r>
      <w:r>
        <w:rPr>
          <w:sz w:val="22"/>
          <w:szCs w:val="22"/>
        </w:rPr>
        <w:t xml:space="preserve">) yang mengatur hubungan khusus, misalnya perjanjian batas wilayah antara dua negara. Pembahasan lengkap ada pada Bab 7.</w:t>
      </w:r>
    </w:p>
    <w:p>
      <w:pPr>
        <w:pStyle w:val="Heading2"/>
        <w:keepNext/>
        <w:spacing w:after="120" w:before="280"/>
      </w:pPr>
      <w:r>
        <w:t xml:space="preserve">C. Kebiasaan Internasional: Hukum yang Tumbuh dari Perilaku</w:t>
      </w:r>
    </w:p>
    <w:p>
      <w:pPr>
        <w:spacing w:after="140" w:before="0" w:line="300"/>
        <w:jc w:val="both"/>
      </w:pPr>
      <w:r>
        <w:rPr>
          <w:sz w:val="22"/>
          <w:szCs w:val="22"/>
        </w:rPr>
        <w:t xml:space="preserve">Kebiasaan internasional adalah kaidah yang lahir dari perilaku negara. Ia tidak dituliskan, tetapi berlaku. Agar sebuah praktik menjadi hukum kebiasaan, harus terpenuhi dua unsur:</w:t>
      </w:r>
    </w:p>
    <w:p>
      <w:pPr>
        <w:pStyle w:val="ListParagraph"/>
        <w:numPr>
          <w:ilvl w:val="0"/>
          <w:numId w:val="5"/>
        </w:numPr>
        <w:spacing w:after="80" w:line="290"/>
        <w:jc w:val="left"/>
      </w:pPr>
      <w:r>
        <w:rPr>
          <w:b/>
          <w:bCs/>
          <w:sz w:val="22"/>
          <w:szCs w:val="22"/>
        </w:rPr>
        <w:t xml:space="preserve">Praktik negara</w:t>
      </w:r>
      <w:r>
        <w:rPr>
          <w:sz w:val="22"/>
          <w:szCs w:val="22"/>
        </w:rPr>
        <w:t xml:space="preserve"> (</w:t>
      </w:r>
      <w:r>
        <w:rPr>
          <w:i/>
          <w:iCs/>
          <w:sz w:val="22"/>
          <w:szCs w:val="22"/>
        </w:rPr>
        <w:t xml:space="preserve">state practice</w:t>
      </w:r>
      <w:r>
        <w:rPr>
          <w:sz w:val="22"/>
          <w:szCs w:val="22"/>
        </w:rPr>
        <w:t xml:space="preserve">): perilaku yang cukup konsisten, luas, dan representatif, termasuk oleh negara-negara yang paling terdampak.</w:t>
      </w:r>
    </w:p>
    <w:p>
      <w:pPr>
        <w:pStyle w:val="ListParagraph"/>
        <w:numPr>
          <w:ilvl w:val="0"/>
          <w:numId w:val="5"/>
        </w:numPr>
        <w:spacing w:after="80" w:line="290"/>
        <w:jc w:val="left"/>
      </w:pPr>
      <w:r>
        <w:rPr>
          <w:b/>
          <w:bCs/>
          <w:i/>
          <w:iCs/>
          <w:sz w:val="22"/>
          <w:szCs w:val="22"/>
        </w:rPr>
        <w:t xml:space="preserve">Opinio juris sive necessitatis</w:t>
      </w:r>
      <w:r>
        <w:rPr>
          <w:sz w:val="22"/>
          <w:szCs w:val="22"/>
        </w:rPr>
        <w:t xml:space="preserve">: keyakinan negara bahwa perilaku itu dilakukan karena diwajibkan hukum, bukan karena kesopanan atau kebiasaan belaka.</w:t>
      </w:r>
    </w:p>
    <w:p>
      <w:pPr>
        <w:spacing w:after="8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Kasus Klasik: North Sea Continental Shelf (1969)</w:t>
            </w:r>
          </w:p>
          <w:p>
            <w:pPr>
              <w:spacing w:after="80" w:before="0" w:line="290"/>
              <w:jc w:val="left"/>
            </w:pPr>
            <w:r>
              <w:rPr>
                <w:sz w:val="21"/>
                <w:szCs w:val="21"/>
              </w:rPr>
              <w:t xml:space="preserve">Jerman tidak meratifikasi Konvensi Jenewa 1958 tentang Landas Kontinen, tetapi Denmark dan Belanda menuntut agar Jerman tunduk pada prinsip garis tengah (equidistance) yang ada di konvensi itu. ICJ menolak: prinsip tersebut belum menjadi hukum kebiasaan yang mengikat semua negara karena belum ada praktik yang cukup luas dan keyakinan hukum yang mantap. Putusan ini menjadi rujukan utama tentang cara membuktikan kebiasaan.</w:t>
            </w:r>
          </w:p>
        </w:tc>
      </w:tr>
    </w:tbl>
    <w:p>
      <w:pPr>
        <w:spacing w:after="160" w:line="200"/>
      </w:pPr>
    </w:p>
    <w:p>
      <w:pPr>
        <w:spacing w:after="140" w:before="0" w:line="300"/>
        <w:jc w:val="both"/>
      </w:pPr>
      <w:r>
        <w:rPr>
          <w:sz w:val="22"/>
          <w:szCs w:val="22"/>
        </w:rPr>
        <w:t xml:space="preserve">Beberapa hal penting lain tentang kebiasaan: negara yang secara konsisten menolak suatu kebiasaan sejak awal pembentukannya dapat menjadi </w:t>
      </w:r>
      <w:r>
        <w:rPr>
          <w:i/>
          <w:iCs/>
          <w:sz w:val="22"/>
          <w:szCs w:val="22"/>
        </w:rPr>
        <w:t xml:space="preserve">persistent objector</w:t>
      </w:r>
      <w:r>
        <w:rPr>
          <w:sz w:val="22"/>
          <w:szCs w:val="22"/>
        </w:rPr>
        <w:t xml:space="preserve"> dan tidak terikat padanya. Kebiasaan juga dapat hidup berdampingan dengan perjanjian, sebagaimana ditegaskan ICJ dalam perkara </w:t>
      </w:r>
      <w:r>
        <w:rPr>
          <w:i/>
          <w:iCs/>
          <w:sz w:val="22"/>
          <w:szCs w:val="22"/>
        </w:rPr>
        <w:t xml:space="preserve">Nicaragua v. Amerika Serikat</w:t>
      </w:r>
      <w:r>
        <w:rPr>
          <w:sz w:val="22"/>
          <w:szCs w:val="22"/>
        </w:rPr>
        <w:t xml:space="preserve"> (1986), di mana larangan penggunaan kekerasan berlaku baik sebagai norma perjanjian maupun norma kebiasaan. Ada pula kebiasaan lokal atau regional, seperti diakui dalam </w:t>
      </w:r>
      <w:r>
        <w:rPr>
          <w:i/>
          <w:iCs/>
          <w:sz w:val="22"/>
          <w:szCs w:val="22"/>
        </w:rPr>
        <w:t xml:space="preserve">Asylum Case</w:t>
      </w:r>
      <w:r>
        <w:rPr>
          <w:sz w:val="22"/>
          <w:szCs w:val="22"/>
        </w:rPr>
        <w:t xml:space="preserve"> (Kolombia/Peru, 1950), meski pembuktiannya lebih berat.</w:t>
      </w:r>
    </w:p>
    <w:p>
      <w:pPr>
        <w:pStyle w:val="Heading2"/>
        <w:keepNext/>
        <w:spacing w:after="120" w:before="280"/>
      </w:pPr>
      <w:r>
        <w:t xml:space="preserve">D. Prinsip Hukum Umum</w:t>
      </w:r>
    </w:p>
    <w:p>
      <w:pPr>
        <w:spacing w:after="140" w:before="0" w:line="300"/>
        <w:jc w:val="both"/>
      </w:pPr>
      <w:r>
        <w:rPr>
          <w:sz w:val="22"/>
          <w:szCs w:val="22"/>
        </w:rPr>
        <w:t xml:space="preserve">Prinsip hukum umum berfungsi sebagai penambal celah ketika perjanjian dan kebiasaan tidak memberi jawaban. Contohnya larangan penyalahgunaan hak, kewajiban bertindak dengan itikad baik, asas </w:t>
      </w:r>
      <w:r>
        <w:rPr>
          <w:i/>
          <w:iCs/>
          <w:sz w:val="22"/>
          <w:szCs w:val="22"/>
        </w:rPr>
        <w:t xml:space="preserve">res judicata</w:t>
      </w:r>
      <w:r>
        <w:rPr>
          <w:sz w:val="22"/>
          <w:szCs w:val="22"/>
        </w:rPr>
        <w:t xml:space="preserve"> (perkara yang telah diputus tidak boleh disengketakan lagi), dan asas bahwa pelanggaran kewajiban menimbulkan kewajiban ganti rugi. Prinsip-prinsip ini biasanya ditemukan melalui perbandingan berbagai sistem hukum nasional.</w:t>
      </w:r>
    </w:p>
    <w:p>
      <w:pPr>
        <w:pStyle w:val="Heading2"/>
        <w:keepNext/>
        <w:spacing w:after="120" w:before="280"/>
      </w:pPr>
      <w:r>
        <w:t xml:space="preserve">E. Sarana Tambahan: Putusan dan Doktrin</w:t>
      </w:r>
    </w:p>
    <w:p>
      <w:pPr>
        <w:spacing w:after="140" w:before="0" w:line="300"/>
        <w:jc w:val="both"/>
      </w:pPr>
      <w:r>
        <w:rPr>
          <w:sz w:val="22"/>
          <w:szCs w:val="22"/>
        </w:rPr>
        <w:t xml:space="preserve">Putusan pengadilan dan pendapat ahli bukan sumber pembentuk hukum, melainkan </w:t>
      </w:r>
      <w:r>
        <w:rPr>
          <w:b/>
          <w:bCs/>
          <w:sz w:val="22"/>
          <w:szCs w:val="22"/>
        </w:rPr>
        <w:t xml:space="preserve">sarana untuk menemukan</w:t>
      </w:r>
      <w:r>
        <w:rPr>
          <w:sz w:val="22"/>
          <w:szCs w:val="22"/>
        </w:rPr>
        <w:t xml:space="preserve"> apa hukumnya. Tidak ada asas </w:t>
      </w:r>
      <w:r>
        <w:rPr>
          <w:i/>
          <w:iCs/>
          <w:sz w:val="22"/>
          <w:szCs w:val="22"/>
        </w:rPr>
        <w:t xml:space="preserve">stare decisis</w:t>
      </w:r>
      <w:r>
        <w:rPr>
          <w:sz w:val="22"/>
          <w:szCs w:val="22"/>
        </w:rPr>
        <w:t xml:space="preserve"> dalam hukum internasional: Pasal 59 Statuta ICJ menyatakan putusan hanya mengikat para pihak dalam perkara tersebut. Meski begitu, dalam praktiknya ICJ hampir selalu merujuk putusannya sendiri agar konsisten.</w:t>
      </w:r>
    </w:p>
    <w:p>
      <w:pPr>
        <w:pStyle w:val="Heading2"/>
        <w:keepNext/>
        <w:spacing w:after="120" w:before="280"/>
      </w:pPr>
      <w:r>
        <w:t xml:space="preserve">F. Di Luar Daftar: Aktus Sepihak, Resolusi, dan Soft Law</w:t>
      </w:r>
    </w:p>
    <w:p>
      <w:pPr>
        <w:spacing w:after="140" w:before="0" w:line="300"/>
        <w:jc w:val="both"/>
      </w:pPr>
      <w:r>
        <w:rPr>
          <w:sz w:val="22"/>
          <w:szCs w:val="22"/>
        </w:rPr>
        <w:t xml:space="preserve">Daftar Pasal 38 tidak lengkap menggambarkan realitas. Beberapa contoh penting:</w:t>
      </w:r>
    </w:p>
    <w:p>
      <w:pPr>
        <w:pStyle w:val="ListParagraph"/>
        <w:numPr>
          <w:ilvl w:val="0"/>
          <w:numId w:val="2"/>
        </w:numPr>
        <w:spacing w:after="80" w:line="290"/>
        <w:jc w:val="left"/>
      </w:pPr>
      <w:r>
        <w:rPr>
          <w:b/>
          <w:bCs/>
          <w:sz w:val="22"/>
          <w:szCs w:val="22"/>
        </w:rPr>
        <w:t xml:space="preserve">Aktus sepihak negara</w:t>
      </w:r>
      <w:r>
        <w:rPr>
          <w:sz w:val="22"/>
          <w:szCs w:val="22"/>
        </w:rPr>
        <w:t xml:space="preserve">: dalam perkara </w:t>
      </w:r>
      <w:r>
        <w:rPr>
          <w:i/>
          <w:iCs/>
          <w:sz w:val="22"/>
          <w:szCs w:val="22"/>
        </w:rPr>
        <w:t xml:space="preserve">Nuclear Tests</w:t>
      </w:r>
      <w:r>
        <w:rPr>
          <w:sz w:val="22"/>
          <w:szCs w:val="22"/>
        </w:rPr>
        <w:t xml:space="preserve"> (1974), ICJ menganggap pernyataan resmi Prancis untuk menghentikan uji coba nuklir atmosferik sebagai janji yang mengikat.</w:t>
      </w:r>
    </w:p>
    <w:p>
      <w:pPr>
        <w:pStyle w:val="ListParagraph"/>
        <w:numPr>
          <w:ilvl w:val="0"/>
          <w:numId w:val="2"/>
        </w:numPr>
        <w:spacing w:after="80" w:line="290"/>
        <w:jc w:val="left"/>
      </w:pPr>
      <w:r>
        <w:rPr>
          <w:b/>
          <w:bCs/>
          <w:sz w:val="22"/>
          <w:szCs w:val="22"/>
        </w:rPr>
        <w:t xml:space="preserve">Resolusi organisasi internasional</w:t>
      </w:r>
      <w:r>
        <w:rPr>
          <w:sz w:val="22"/>
          <w:szCs w:val="22"/>
        </w:rPr>
        <w:t xml:space="preserve">: umumnya tidak mengikat (kecuali keputusan Dewan Keamanan PBB berdasarkan Bab VII), tetapi dapat menjadi bukti opinio juris dan mendorong lahirnya kebiasaan.</w:t>
      </w:r>
    </w:p>
    <w:p>
      <w:pPr>
        <w:pStyle w:val="ListParagraph"/>
        <w:numPr>
          <w:ilvl w:val="0"/>
          <w:numId w:val="2"/>
        </w:numPr>
        <w:spacing w:after="80" w:line="290"/>
        <w:jc w:val="left"/>
      </w:pPr>
      <w:r>
        <w:rPr>
          <w:b/>
          <w:bCs/>
          <w:i/>
          <w:iCs/>
          <w:sz w:val="22"/>
          <w:szCs w:val="22"/>
        </w:rPr>
        <w:t xml:space="preserve">Soft law</w:t>
      </w:r>
      <w:r>
        <w:rPr>
          <w:sz w:val="22"/>
          <w:szCs w:val="22"/>
        </w:rPr>
        <w:t xml:space="preserve">: instrumen seperti deklarasi, pedoman, dan kode etik yang tidak mengikat secara formal namun berpengaruh, misalnya Deklarasi Rio 1992.</w:t>
      </w:r>
    </w:p>
    <w:p>
      <w:pPr>
        <w:spacing w:after="80" w:line="200"/>
      </w:pPr>
    </w:p>
    <w:p>
      <w:pPr>
        <w:pStyle w:val="Heading2"/>
        <w:keepNext/>
        <w:spacing w:after="120" w:before="280"/>
      </w:pPr>
      <w:r>
        <w:t xml:space="preserve">G. Norma yang Lebih Tinggi dan Konflik Antarsumber</w:t>
      </w:r>
    </w:p>
    <w:p>
      <w:pPr>
        <w:spacing w:after="140" w:before="0" w:line="300"/>
        <w:jc w:val="both"/>
      </w:pPr>
      <w:r>
        <w:rPr>
          <w:sz w:val="22"/>
          <w:szCs w:val="22"/>
        </w:rPr>
        <w:t xml:space="preserve">Tidak semua norma sederajat. </w:t>
      </w:r>
      <w:r>
        <w:rPr>
          <w:b/>
          <w:bCs/>
          <w:i/>
          <w:iCs/>
          <w:sz w:val="22"/>
          <w:szCs w:val="22"/>
        </w:rPr>
        <w:t xml:space="preserve">Jus cogens</w:t>
      </w:r>
      <w:r>
        <w:rPr>
          <w:sz w:val="22"/>
          <w:szCs w:val="22"/>
        </w:rPr>
        <w:t xml:space="preserve"> (norma memaksa) adalah kaidah yang tidak boleh disimpangi, dan perjanjian yang bertentangan dengannya batal (Pasal 53 Konvensi Wina 1969). Contoh yang lazim disebut adalah larangan genosida, perbudakan, penyiksaan, dan agresi. Sementara itu, kewajiban </w:t>
      </w:r>
      <w:r>
        <w:rPr>
          <w:b/>
          <w:bCs/>
          <w:i/>
          <w:iCs/>
          <w:sz w:val="22"/>
          <w:szCs w:val="22"/>
        </w:rPr>
        <w:t xml:space="preserve">erga omnes</w:t>
      </w:r>
      <w:r>
        <w:rPr>
          <w:sz w:val="22"/>
          <w:szCs w:val="22"/>
        </w:rPr>
        <w:t xml:space="preserve"> adalah kewajiban yang ditujukan kepada seluruh masyarakat internasional sehingga setiap negara punya kepentingan hukum untuk menuntut penegakannya (</w:t>
      </w:r>
      <w:r>
        <w:rPr>
          <w:i/>
          <w:iCs/>
          <w:sz w:val="22"/>
          <w:szCs w:val="22"/>
        </w:rPr>
        <w:t xml:space="preserve">Barcelona Traction</w:t>
      </w:r>
      <w:r>
        <w:rPr>
          <w:sz w:val="22"/>
          <w:szCs w:val="22"/>
        </w:rPr>
        <w:t xml:space="preserve">, 1970). Bila dua norma berbenturan, kita menggunakan asas seperti </w:t>
      </w:r>
      <w:r>
        <w:rPr>
          <w:i/>
          <w:iCs/>
          <w:sz w:val="22"/>
          <w:szCs w:val="22"/>
        </w:rPr>
        <w:t xml:space="preserve">lex specialis</w:t>
      </w:r>
      <w:r>
        <w:rPr>
          <w:sz w:val="22"/>
          <w:szCs w:val="22"/>
        </w:rPr>
        <w:t xml:space="preserve"> (aturan khusus mengalahkan aturan umum) dan </w:t>
      </w:r>
      <w:r>
        <w:rPr>
          <w:i/>
          <w:iCs/>
          <w:sz w:val="22"/>
          <w:szCs w:val="22"/>
        </w:rPr>
        <w:t xml:space="preserve">lex posterior</w:t>
      </w:r>
      <w:r>
        <w:rPr>
          <w:sz w:val="22"/>
          <w:szCs w:val="22"/>
        </w:rPr>
        <w:t xml:space="preserve"> (aturan yang lebih baru mengalahkan yang lama), serta Pasal 103 Piagam PBB yang memberi prioritas kewajiban Piagam bila bertentangan dengan perjanjian lain.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Analogi Dapur</w:t>
            </w:r>
          </w:p>
          <w:p>
            <w:pPr>
              <w:spacing w:after="80" w:before="0" w:line="290"/>
              <w:jc w:val="left"/>
            </w:pPr>
            <w:r>
              <w:rPr>
                <w:sz w:val="21"/>
                <w:szCs w:val="21"/>
              </w:rPr>
              <w:t xml:space="preserve">Bayangkan hukum internasional sebagai dapur besar. Perjanjian adalah resep tertulis yang disepakati juru masak yang menandatanganinya. Kebiasaan adalah cara yang dilakukan semua koki bertahun-tahun tanpa ada resep resminya. Prinsip hukum umum adalah aturan dasar kebersihan yang berlaku di semua dapur. Putusan dan doktrin adalah catatan koki senior yang membantu memahami resep yang kurang jelas.</w:t>
            </w:r>
          </w:p>
        </w:tc>
      </w:tr>
    </w:tbl>
    <w:p>
      <w:pPr>
        <w:spacing w:after="160" w:line="200"/>
      </w:pP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Pasal 38(1) Statuta ICJ menjadi rujukan sumber hukum: perjanjian, kebiasaan, prinsip hukum umum, serta putusan dan doktrin sebagai sarana tambahan.</w:t>
            </w:r>
          </w:p>
          <w:p>
            <w:pPr>
              <w:pStyle w:val="ListParagraph"/>
              <w:numPr>
                <w:ilvl w:val="0"/>
                <w:numId w:val="2"/>
              </w:numPr>
              <w:spacing w:after="80" w:line="290"/>
              <w:jc w:val="left"/>
            </w:pPr>
            <w:r>
              <w:rPr>
                <w:sz w:val="21"/>
                <w:szCs w:val="21"/>
              </w:rPr>
              <w:t xml:space="preserve">Kebiasaan internasional memerlukan praktik negara dan opinio juris.</w:t>
            </w:r>
          </w:p>
          <w:p>
            <w:pPr>
              <w:pStyle w:val="ListParagraph"/>
              <w:numPr>
                <w:ilvl w:val="0"/>
                <w:numId w:val="2"/>
              </w:numPr>
              <w:spacing w:after="80" w:line="290"/>
              <w:jc w:val="left"/>
            </w:pPr>
            <w:r>
              <w:rPr>
                <w:sz w:val="21"/>
                <w:szCs w:val="21"/>
              </w:rPr>
              <w:t xml:space="preserve">Tidak ada stare decisis; putusan hanya mengikat para pihak.</w:t>
            </w:r>
          </w:p>
          <w:p>
            <w:pPr>
              <w:pStyle w:val="ListParagraph"/>
              <w:numPr>
                <w:ilvl w:val="0"/>
                <w:numId w:val="2"/>
              </w:numPr>
              <w:spacing w:after="80" w:line="290"/>
              <w:jc w:val="left"/>
            </w:pPr>
            <w:r>
              <w:rPr>
                <w:sz w:val="21"/>
                <w:szCs w:val="21"/>
              </w:rPr>
              <w:t xml:space="preserve">Jus cogens dan erga omnes menempati posisi khusus; soft law berpengaruh meski tidak mengikat formal.</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Pasal 38 Statuta ICJ  •  opinio juris  •  state practice  •  persistent objector  •  jus cogens  •  erga omnes  •  soft law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6"/>
              </w:numPr>
              <w:spacing w:after="80" w:line="290"/>
              <w:jc w:val="left"/>
            </w:pPr>
            <w:r>
              <w:rPr>
                <w:sz w:val="21"/>
                <w:szCs w:val="21"/>
              </w:rPr>
              <w:t xml:space="preserve">Mengapa Jerman tidak terikat pada prinsip equidistance dalam North Sea Continental Shelf?</w:t>
            </w:r>
          </w:p>
          <w:p>
            <w:pPr>
              <w:pStyle w:val="ListParagraph"/>
              <w:numPr>
                <w:ilvl w:val="0"/>
                <w:numId w:val="6"/>
              </w:numPr>
              <w:spacing w:after="80" w:line="290"/>
              <w:jc w:val="left"/>
            </w:pPr>
            <w:r>
              <w:rPr>
                <w:sz w:val="21"/>
                <w:szCs w:val="21"/>
              </w:rPr>
              <w:t xml:space="preserve">Apakah resolusi Majelis Umum PBB dapat menjadi sumber hukum? Jelaskan dengan syarat-syaratnya.</w:t>
            </w:r>
          </w:p>
          <w:p>
            <w:pPr>
              <w:pStyle w:val="ListParagraph"/>
              <w:numPr>
                <w:ilvl w:val="0"/>
                <w:numId w:val="6"/>
              </w:numPr>
              <w:spacing w:after="80" w:line="290"/>
              <w:jc w:val="left"/>
            </w:pPr>
            <w:r>
              <w:rPr>
                <w:sz w:val="21"/>
                <w:szCs w:val="21"/>
              </w:rPr>
              <w:t xml:space="preserve">Berikan contoh benturan antara dua sumber hukum dan jelaskan cara penyelesaiannya.</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Simulasi "Hakim ICJ" (30 menit).</w:t>
            </w:r>
            <w:r>
              <w:rPr>
                <w:sz w:val="21"/>
                <w:szCs w:val="21"/>
              </w:rPr>
              <w:t xml:space="preserve"> Kelompok diberi kasus hipotetik: Negara X tidak pernah meratifikasi Konvensi Y, tetapi selama 40 tahun ia mematuhi salah satu aturannya. Negara Z menuntut agar Negara X terikat. Tiap kelompok bertindak sebagai majelis hakim dan wajib menyusun putusan singkat dengan kerangka Pasal 38.</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"Jelaskan perbedaan praktik negara dan opinio juris dengan contoh dari perkara North Sea Continental Shelf. Kemudian buatkan satu kasus hipotetik baru untukku, dan minta aku menganalisis apakah kasus itu memenuhi syarat terbentuknya hukum kebiasaan. Nilai jawabanku setelah aku menjawab."</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J.G. Starke, </w:t>
      </w:r>
      <w:r>
        <w:rPr>
          <w:i/>
          <w:iCs/>
          <w:color w:val="595959"/>
          <w:sz w:val="20"/>
          <w:szCs w:val="20"/>
        </w:rPr>
        <w:t xml:space="preserve">Introduction to International Law</w:t>
      </w:r>
      <w:r>
        <w:rPr>
          <w:color w:val="595959"/>
          <w:sz w:val="20"/>
          <w:szCs w:val="20"/>
        </w:rPr>
        <w:t xml:space="preserve">; Mochtar Kusumaatmadja, </w:t>
      </w:r>
      <w:r>
        <w:rPr>
          <w:i/>
          <w:iCs/>
          <w:color w:val="595959"/>
          <w:sz w:val="20"/>
          <w:szCs w:val="20"/>
        </w:rPr>
        <w:t xml:space="preserve">Pengantar Hukum Internasional</w:t>
      </w:r>
      <w:r>
        <w:rPr>
          <w:color w:val="595959"/>
          <w:sz w:val="20"/>
          <w:szCs w:val="20"/>
        </w:rPr>
        <w:t xml:space="preserve">; Arman Anwar dkk. (2021).</w:t>
      </w:r>
    </w:p>
    <w:p>
      <w:pPr>
        <w:keepNext/>
        <w:pageBreakBefore/>
        <w:spacing w:after="60"/>
      </w:pPr>
      <w:r>
        <w:rPr>
          <w:rFonts w:ascii="Calibri" w:cs="Calibri" w:eastAsia="Calibri" w:hAnsi="Calibri"/>
          <w:b/>
          <w:bCs/>
          <w:color w:val="B8892B"/>
          <w:spacing w:val="60"/>
          <w:sz w:val="22"/>
          <w:szCs w:val="22"/>
        </w:rPr>
        <w:t xml:space="preserve">BAB 4   |   PERTEMUAN 4</w:t>
      </w:r>
    </w:p>
    <w:p>
      <w:pPr>
        <w:pStyle w:val="Heading1"/>
        <w:keepNext/>
        <w:pBdr>
          <w:bottom w:val="single" w:color="B8892B" w:sz="12" w:space="6"/>
        </w:pBdr>
        <w:spacing w:after="100"/>
      </w:pPr>
      <w:r>
        <w:t xml:space="preserve">Siapa Saja yang Boleh Bermain di Panggung Hukum Internasional?</w:t>
      </w:r>
    </w:p>
    <w:p>
      <w:pPr>
        <w:spacing w:after="200"/>
      </w:pPr>
      <w:r>
        <w:rPr>
          <w:rFonts w:ascii="Cambria" w:cs="Cambria" w:eastAsia="Cambria" w:hAnsi="Cambria"/>
          <w:i/>
          <w:iCs/>
          <w:color w:val="595959"/>
          <w:sz w:val="26"/>
          <w:szCs w:val="26"/>
        </w:rPr>
        <w:t xml:space="preserve">Subjek Hukum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Tiga Pertanyaan Iseng</w:t>
            </w:r>
          </w:p>
          <w:p>
            <w:pPr>
              <w:spacing w:after="80" w:before="0" w:line="290"/>
              <w:jc w:val="left"/>
            </w:pPr>
            <w:r>
              <w:rPr>
                <w:sz w:val="21"/>
                <w:szCs w:val="21"/>
              </w:rPr>
              <w:t xml:space="preserve">Pertama, apakah PBB dapat menggugat sebuah negara di pengadilan internasional? Kedua, apakah Vatikan sebuah negara? Ketiga, apakah kamu, sebagai individu, punya hak dan kewajiban langsung menurut hukum internasional? Jawaban ketiganya ternyata "ya, dalam batas tertentu", dan cerita di baliknya menunjukkan betapa berubahnya masyarakat internasional sejak abad ke-17.</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konsep subjek hukum internasional dan personalitas hukum;</w:t>
            </w:r>
          </w:p>
          <w:p>
            <w:pPr>
              <w:pStyle w:val="ListParagraph"/>
              <w:numPr>
                <w:ilvl w:val="0"/>
                <w:numId w:val="2"/>
              </w:numPr>
              <w:spacing w:after="80" w:line="290"/>
              <w:jc w:val="left"/>
            </w:pPr>
            <w:r>
              <w:rPr>
                <w:sz w:val="21"/>
                <w:szCs w:val="21"/>
              </w:rPr>
              <w:t xml:space="preserve">mengidentifikasi macam-macam subjek hukum internasional beserta kapasitas dan batasannya;</w:t>
            </w:r>
          </w:p>
          <w:p>
            <w:pPr>
              <w:pStyle w:val="ListParagraph"/>
              <w:numPr>
                <w:ilvl w:val="0"/>
                <w:numId w:val="2"/>
              </w:numPr>
              <w:spacing w:after="80" w:line="290"/>
              <w:jc w:val="left"/>
            </w:pPr>
            <w:r>
              <w:rPr>
                <w:sz w:val="21"/>
                <w:szCs w:val="21"/>
              </w:rPr>
              <w:t xml:space="preserve">menganalisis kedudukan individu, organisasi internasional, dan korporasi;</w:t>
            </w:r>
          </w:p>
          <w:p>
            <w:pPr>
              <w:pStyle w:val="ListParagraph"/>
              <w:numPr>
                <w:ilvl w:val="0"/>
                <w:numId w:val="2"/>
              </w:numPr>
              <w:spacing w:after="80" w:line="290"/>
              <w:jc w:val="left"/>
            </w:pPr>
            <w:r>
              <w:rPr>
                <w:sz w:val="21"/>
                <w:szCs w:val="21"/>
              </w:rPr>
              <w:t xml:space="preserve">menerapkan konsep subjek hukum pada kasus aktual.</w:t>
            </w:r>
          </w:p>
        </w:tc>
      </w:tr>
    </w:tbl>
    <w:p>
      <w:pPr>
        <w:spacing w:after="160" w:line="200"/>
      </w:pPr>
    </w:p>
    <w:p>
      <w:pPr>
        <w:pStyle w:val="Heading2"/>
        <w:keepNext/>
        <w:spacing w:after="120" w:before="280"/>
      </w:pPr>
      <w:r>
        <w:t xml:space="preserve">A. Subjek Hukum: Pemegang Hak dan Kewajiban</w:t>
      </w:r>
    </w:p>
    <w:p>
      <w:pPr>
        <w:spacing w:after="140" w:before="0" w:line="300"/>
        <w:jc w:val="both"/>
      </w:pPr>
      <w:r>
        <w:rPr>
          <w:sz w:val="22"/>
          <w:szCs w:val="22"/>
        </w:rPr>
        <w:t xml:space="preserve">Subjek hukum internasional adalah entitas yang mampu memegang hak dan kewajiban menurut hukum internasional. Ciri kuncinya adalah kapasitas untuk (1) memiliki hak dan kewajiban, (2) mengajukan klaim atas pelanggaran, dan (3) membuat perjanjian internasional. Entitas yang tidak memiliki ciri-ciri ini disebut </w:t>
      </w:r>
      <w:r>
        <w:rPr>
          <w:b/>
          <w:bCs/>
          <w:sz w:val="22"/>
          <w:szCs w:val="22"/>
        </w:rPr>
        <w:t xml:space="preserve">objek</w:t>
      </w:r>
      <w:r>
        <w:rPr>
          <w:sz w:val="22"/>
          <w:szCs w:val="22"/>
        </w:rPr>
        <w:t xml:space="preserve"> hukum internasional, yaitu sesuatu yang diatur tetapi tidak berhak berbicara sendiri. Pada mulanya para ahli positivis menganggap hanya negara yang menjadi subjek. Pandangan ini berubah drastis sesudah dua perang dunia.</w:t>
      </w:r>
    </w:p>
    <w:p>
      <w:pPr>
        <w:pStyle w:val="Heading2"/>
        <w:keepNext/>
        <w:spacing w:after="120" w:before="280"/>
      </w:pPr>
      <w:r>
        <w:t xml:space="preserve">B. Negara: Subjek Utama dan Penuh</w:t>
      </w:r>
    </w:p>
    <w:p>
      <w:pPr>
        <w:spacing w:after="140" w:before="0" w:line="300"/>
        <w:jc w:val="both"/>
      </w:pPr>
      <w:r>
        <w:rPr>
          <w:sz w:val="22"/>
          <w:szCs w:val="22"/>
        </w:rPr>
        <w:t xml:space="preserve">Negara memiliki personalitas hukum internasional yang paling lengkap: ia dapat membuat perjanjian, mengirim dan menerima perwakilan diplomatik, menjadi pihak dalam sengketa, dan bertanggung jawab atas pelanggaran. Syarat-syarat sebuah negara, serta bagaimana kedaulatan dan pengakuan bekerja, dibahas mendalam pada Bab 5.</w:t>
      </w:r>
    </w:p>
    <w:p>
      <w:pPr>
        <w:pStyle w:val="Heading2"/>
        <w:keepNext/>
        <w:spacing w:after="120" w:before="280"/>
      </w:pPr>
      <w:r>
        <w:t xml:space="preserve">C. Organisasi Internasional</w:t>
      </w:r>
    </w:p>
    <w:p>
      <w:pPr>
        <w:spacing w:after="140" w:before="0" w:line="300"/>
        <w:jc w:val="both"/>
      </w:pPr>
      <w:r>
        <w:rPr>
          <w:sz w:val="22"/>
          <w:szCs w:val="22"/>
        </w:rPr>
        <w:t xml:space="preserve">Organisasi internasional, seperti PBB, ASEAN, atau WTO, adalah subjek hukum yang kapasitasnya bersumber dari instrumen pendiriannya. Tonggak penting adalah pendapat penasihat ICJ dalam </w:t>
      </w:r>
      <w:r>
        <w:rPr>
          <w:i/>
          <w:iCs/>
          <w:sz w:val="22"/>
          <w:szCs w:val="22"/>
        </w:rPr>
        <w:t xml:space="preserve">Reparation for Injuries</w:t>
      </w:r>
      <w:r>
        <w:rPr>
          <w:sz w:val="22"/>
          <w:szCs w:val="22"/>
        </w:rPr>
        <w:t xml:space="preserve"> (1949). Setelah Count Folke Bernadotte, mediator PBB, terbunuh di Yerusalem pada 1948, PBB bertanya apakah ia berhak menuntut ganti rugi terhadap negara yang bertanggung jawab. ICJ menjawab ya: PBB memiliki personalitas hukum internasional yang objektif dan mampu mengajukan klaim, sebab tanpa itu ia tidak dapat menjalankan fungsinya. Kapasitas organisasi internasional tetap terbatas pada tujuan dan kewenangan yang diberikan negara anggotanya (prinsip </w:t>
      </w:r>
      <w:r>
        <w:rPr>
          <w:i/>
          <w:iCs/>
          <w:sz w:val="22"/>
          <w:szCs w:val="22"/>
        </w:rPr>
        <w:t xml:space="preserve">speciality</w:t>
      </w:r>
      <w:r>
        <w:rPr>
          <w:sz w:val="22"/>
          <w:szCs w:val="22"/>
        </w:rPr>
        <w:t xml:space="preserve">).</w:t>
      </w:r>
    </w:p>
    <w:p>
      <w:pPr>
        <w:pStyle w:val="Heading2"/>
        <w:keepNext/>
        <w:spacing w:after="120" w:before="280"/>
      </w:pPr>
      <w:r>
        <w:t xml:space="preserve">D. Subjek Sui Generis: Takhta Suci, ICRC, dan Ordo Malta</w:t>
      </w:r>
    </w:p>
    <w:p>
      <w:pPr>
        <w:spacing w:after="140" w:before="0" w:line="300"/>
        <w:jc w:val="both"/>
      </w:pPr>
      <w:r>
        <w:rPr>
          <w:sz w:val="22"/>
          <w:szCs w:val="22"/>
        </w:rPr>
        <w:t xml:space="preserve">Beberapa entitas memiliki status unik. </w:t>
      </w:r>
      <w:r>
        <w:rPr>
          <w:b/>
          <w:bCs/>
          <w:sz w:val="22"/>
          <w:szCs w:val="22"/>
        </w:rPr>
        <w:t xml:space="preserve">Takhta Suci</w:t>
      </w:r>
      <w:r>
        <w:rPr>
          <w:sz w:val="22"/>
          <w:szCs w:val="22"/>
        </w:rPr>
        <w:t xml:space="preserve"> (</w:t>
      </w:r>
      <w:r>
        <w:rPr>
          <w:i/>
          <w:iCs/>
          <w:sz w:val="22"/>
          <w:szCs w:val="22"/>
        </w:rPr>
        <w:t xml:space="preserve">Holy See</w:t>
      </w:r>
      <w:r>
        <w:rPr>
          <w:sz w:val="22"/>
          <w:szCs w:val="22"/>
        </w:rPr>
        <w:t xml:space="preserve">) dianggap memiliki personalitas hukum internasional, mengirim nunsio dan menjadi pihak perjanjian, dan sebagian besar kekuatannya berlandaskan kedaulatan spiritual. Negara Kota Vatikan sendiri dibentuk melalui Perjanjian Lateran 1929. </w:t>
      </w:r>
      <w:r>
        <w:rPr>
          <w:b/>
          <w:bCs/>
          <w:sz w:val="22"/>
          <w:szCs w:val="22"/>
        </w:rPr>
        <w:t xml:space="preserve">Komite Internasional Palang Merah (ICRC)</w:t>
      </w:r>
      <w:r>
        <w:rPr>
          <w:sz w:val="22"/>
          <w:szCs w:val="22"/>
        </w:rPr>
        <w:t xml:space="preserve"> memegang mandat khusus dari Konvensi Jenewa dan diakui negara-negara sebagai aktor dengan kapasitas internasional. </w:t>
      </w:r>
      <w:r>
        <w:rPr>
          <w:b/>
          <w:bCs/>
          <w:sz w:val="22"/>
          <w:szCs w:val="22"/>
        </w:rPr>
        <w:t xml:space="preserve">Ordo Militer Berdaulat Malta</w:t>
      </w:r>
      <w:r>
        <w:rPr>
          <w:sz w:val="22"/>
          <w:szCs w:val="22"/>
        </w:rPr>
        <w:t xml:space="preserve"> memiliki hubungan diplomatik dengan puluhan negara.</w:t>
      </w:r>
    </w:p>
    <w:p>
      <w:pPr>
        <w:pStyle w:val="Heading2"/>
        <w:keepNext/>
        <w:spacing w:after="120" w:before="280"/>
      </w:pPr>
      <w:r>
        <w:t xml:space="preserve">E. Individu: Dari Objek Menjadi Subjek</w:t>
      </w:r>
    </w:p>
    <w:p>
      <w:pPr>
        <w:spacing w:after="140" w:before="0" w:line="300"/>
        <w:jc w:val="both"/>
      </w:pPr>
      <w:r>
        <w:rPr>
          <w:sz w:val="22"/>
          <w:szCs w:val="22"/>
        </w:rPr>
        <w:t xml:space="preserve">Individu dulunya dianggap sekadar objek. Sesudah Perang Dunia II, terjadi perubahan mendasar:</w:t>
      </w:r>
    </w:p>
    <w:p>
      <w:pPr>
        <w:pStyle w:val="ListParagraph"/>
        <w:numPr>
          <w:ilvl w:val="0"/>
          <w:numId w:val="2"/>
        </w:numPr>
        <w:spacing w:after="80" w:line="290"/>
        <w:jc w:val="left"/>
      </w:pPr>
      <w:r>
        <w:rPr>
          <w:b/>
          <w:bCs/>
          <w:sz w:val="22"/>
          <w:szCs w:val="22"/>
        </w:rPr>
        <w:t xml:space="preserve">Sebagai penanggung kewajiban</w:t>
      </w:r>
      <w:r>
        <w:rPr>
          <w:sz w:val="22"/>
          <w:szCs w:val="22"/>
        </w:rPr>
        <w:t xml:space="preserve">: Pengadilan Nuremberg (1945-1946) menegaskan bahwa kejahatan dilakukan oleh manusia, bukan entitas abstrak, sehingga individu dapat dimintai pertanggungjawaban pidana langsung. Prinsip ini dilembagakan dalam Mahkamah Pidana Internasional (ICC).</w:t>
      </w:r>
    </w:p>
    <w:p>
      <w:pPr>
        <w:pStyle w:val="ListParagraph"/>
        <w:numPr>
          <w:ilvl w:val="0"/>
          <w:numId w:val="2"/>
        </w:numPr>
        <w:spacing w:after="80" w:line="290"/>
        <w:jc w:val="left"/>
      </w:pPr>
      <w:r>
        <w:rPr>
          <w:b/>
          <w:bCs/>
          <w:sz w:val="22"/>
          <w:szCs w:val="22"/>
        </w:rPr>
        <w:t xml:space="preserve">Sebagai pemegang hak</w:t>
      </w:r>
      <w:r>
        <w:rPr>
          <w:sz w:val="22"/>
          <w:szCs w:val="22"/>
        </w:rPr>
        <w:t xml:space="preserve">: perjanjian HAM memberikan hak langsung kepada individu, sebagian di antaranya dilengkapi mekanisme pengaduan, misalnya melalui Komite HAM PBB atau Pengadilan HAM Eropa.</w:t>
      </w:r>
    </w:p>
    <w:p>
      <w:pPr>
        <w:pStyle w:val="ListParagraph"/>
        <w:numPr>
          <w:ilvl w:val="0"/>
          <w:numId w:val="2"/>
        </w:numPr>
        <w:spacing w:after="80" w:line="290"/>
        <w:jc w:val="left"/>
      </w:pPr>
      <w:r>
        <w:rPr>
          <w:b/>
          <w:bCs/>
          <w:sz w:val="22"/>
          <w:szCs w:val="22"/>
        </w:rPr>
        <w:t xml:space="preserve">Hak konsuler</w:t>
      </w:r>
      <w:r>
        <w:rPr>
          <w:sz w:val="22"/>
          <w:szCs w:val="22"/>
        </w:rPr>
        <w:t xml:space="preserve">: dalam perkara </w:t>
      </w:r>
      <w:r>
        <w:rPr>
          <w:i/>
          <w:iCs/>
          <w:sz w:val="22"/>
          <w:szCs w:val="22"/>
        </w:rPr>
        <w:t xml:space="preserve">LaGrand</w:t>
      </w:r>
      <w:r>
        <w:rPr>
          <w:sz w:val="22"/>
          <w:szCs w:val="22"/>
        </w:rPr>
        <w:t xml:space="preserve"> (2001), ICJ menyatakan bahwa Pasal 36 Konvensi Wina 1963 tentang Hubungan Konsuler menciptakan hak individual bagi orang asing yang ditahan untuk diberi tahu tentang haknya mengakses konsul.</w:t>
      </w:r>
    </w:p>
    <w:p>
      <w:pPr>
        <w:spacing w:after="80" w:line="200"/>
      </w:pPr>
    </w:p>
    <w:p>
      <w:pPr>
        <w:spacing w:after="140" w:before="0" w:line="300"/>
        <w:jc w:val="both"/>
      </w:pPr>
      <w:r>
        <w:rPr>
          <w:sz w:val="22"/>
          <w:szCs w:val="22"/>
        </w:rPr>
        <w:t xml:space="preserve">Meski demikian, kapasitas individu masih terbatas. Pada umumnya individu tidak dapat menggugat negara di ICJ, dan akses ke forum internasional bergantung pada persetujuan negara.</w:t>
      </w:r>
    </w:p>
    <w:p>
      <w:pPr>
        <w:pStyle w:val="Heading2"/>
        <w:keepNext/>
        <w:spacing w:after="120" w:before="280"/>
      </w:pPr>
      <w:r>
        <w:t xml:space="preserve">F. Korporasi, LSM, dan Aktor Non-Negara Lain</w:t>
      </w:r>
    </w:p>
    <w:p>
      <w:pPr>
        <w:spacing w:after="140" w:before="0" w:line="300"/>
        <w:jc w:val="both"/>
      </w:pPr>
      <w:r>
        <w:rPr>
          <w:sz w:val="22"/>
          <w:szCs w:val="22"/>
        </w:rPr>
        <w:t xml:space="preserve">Perusahaan multinasional (MNC) tidak diakui sebagai subjek penuh, walau omzet sebagian di antaranya melampaui PDB banyak negara. Namun, melalui perjanjian investasi bilateral dan mekanisme arbitrase seperti ICSID, investor asing dapat menggugat negara tuan rumah. Organisasi non-pemerintah (LSM) berpengaruh besar dalam pembentukan norma, misalnya pada Konvensi Pelarangan Ranjau Darat, meski tidak berstatus subjek hukum internasional. Kelompok pemberontak yang diakui sebagai </w:t>
      </w:r>
      <w:r>
        <w:rPr>
          <w:i/>
          <w:iCs/>
          <w:sz w:val="22"/>
          <w:szCs w:val="22"/>
        </w:rPr>
        <w:t xml:space="preserve">belligerent</w:t>
      </w:r>
      <w:r>
        <w:rPr>
          <w:sz w:val="22"/>
          <w:szCs w:val="22"/>
        </w:rPr>
        <w:t xml:space="preserve"> dan gerakan pembebasan nasional yang berjuang melawan penjajahan diakui memiliki kapasitas terbatas, misalnya untuk terikat pada hukum humaniter.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2000"/>
        <w:gridCol w:w="4526"/>
      </w:tblGrid>
      <w:tr>
        <w:trPr>
          <w:cantSplit/>
          <w:tblHeader/>
        </w:trPr>
        <w:tc>
          <w:tcPr>
            <w:tcW w:type="dxa" w:w="25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Entitas</w:t>
            </w:r>
          </w:p>
        </w:tc>
        <w:tc>
          <w:tcPr>
            <w:tcW w:type="dxa" w:w="20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Tingkat personalitas</w:t>
            </w:r>
          </w:p>
        </w:tc>
        <w:tc>
          <w:tcPr>
            <w:tcW w:type="dxa" w:w="45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Catatan</w:t>
            </w:r>
          </w:p>
        </w:tc>
      </w:tr>
      <w:tr>
        <w:trPr>
          <w:cantSplit/>
        </w:trPr>
        <w:tc>
          <w:tcPr>
            <w:tcW w:type="dxa" w:w="25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Negara</w:t>
            </w:r>
          </w:p>
        </w:tc>
        <w:tc>
          <w:tcPr>
            <w:tcW w:type="dxa" w:w="2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Penuh</w:t>
            </w:r>
          </w:p>
        </w:tc>
        <w:tc>
          <w:tcPr>
            <w:tcW w:type="dxa" w:w="45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Subjek asli dan utama</w:t>
            </w:r>
          </w:p>
        </w:tc>
      </w:tr>
      <w:tr>
        <w:trPr>
          <w:cantSplit/>
        </w:trPr>
        <w:tc>
          <w:tcPr>
            <w:tcW w:type="dxa" w:w="25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Organisasi internasional</w:t>
            </w:r>
          </w:p>
        </w:tc>
        <w:tc>
          <w:tcPr>
            <w:tcW w:type="dxa" w:w="2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Fungsional</w:t>
            </w:r>
          </w:p>
        </w:tc>
        <w:tc>
          <w:tcPr>
            <w:tcW w:type="dxa" w:w="45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Terbatas pada tujuan dan kewenangan yang diberikan pendirinya</w:t>
            </w:r>
          </w:p>
        </w:tc>
      </w:tr>
      <w:tr>
        <w:trPr>
          <w:cantSplit/>
        </w:trPr>
        <w:tc>
          <w:tcPr>
            <w:tcW w:type="dxa" w:w="25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Takhta Suci, ICRC, Ordo Malta</w:t>
            </w:r>
          </w:p>
        </w:tc>
        <w:tc>
          <w:tcPr>
            <w:tcW w:type="dxa" w:w="2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Sui generis</w:t>
            </w:r>
          </w:p>
        </w:tc>
        <w:tc>
          <w:tcPr>
            <w:tcW w:type="dxa" w:w="45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Status khusus berdasar sejarah dan mandat</w:t>
            </w:r>
          </w:p>
        </w:tc>
      </w:tr>
      <w:tr>
        <w:trPr>
          <w:cantSplit/>
        </w:trPr>
        <w:tc>
          <w:tcPr>
            <w:tcW w:type="dxa" w:w="25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Individu</w:t>
            </w:r>
          </w:p>
        </w:tc>
        <w:tc>
          <w:tcPr>
            <w:tcW w:type="dxa" w:w="2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Terbatas</w:t>
            </w:r>
          </w:p>
        </w:tc>
        <w:tc>
          <w:tcPr>
            <w:tcW w:type="dxa" w:w="45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Pemegang hak (HAM) dan penanggung kewajiban pidana</w:t>
            </w:r>
          </w:p>
        </w:tc>
      </w:tr>
      <w:tr>
        <w:trPr>
          <w:cantSplit/>
        </w:trPr>
        <w:tc>
          <w:tcPr>
            <w:tcW w:type="dxa" w:w="25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Korporasi</w:t>
            </w:r>
          </w:p>
        </w:tc>
        <w:tc>
          <w:tcPr>
            <w:tcW w:type="dxa" w:w="2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Sangat terbatas</w:t>
            </w:r>
          </w:p>
        </w:tc>
        <w:tc>
          <w:tcPr>
            <w:tcW w:type="dxa" w:w="45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Hak tertentu melalui perjanjian investasi</w:t>
            </w:r>
          </w:p>
        </w:tc>
      </w:tr>
      <w:tr>
        <w:trPr>
          <w:cantSplit/>
        </w:trPr>
        <w:tc>
          <w:tcPr>
            <w:tcW w:type="dxa" w:w="25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Gerakan pembebasan, belligerent</w:t>
            </w:r>
          </w:p>
        </w:tc>
        <w:tc>
          <w:tcPr>
            <w:tcW w:type="dxa" w:w="2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Terbatas</w:t>
            </w:r>
          </w:p>
        </w:tc>
        <w:tc>
          <w:tcPr>
            <w:tcW w:type="dxa" w:w="45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Berkaitan dengan hukum humaniter dan penentuan nasib sendiri</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Kasus Hangat: Bagaimana Status Palestina?</w:t>
            </w:r>
          </w:p>
          <w:p>
            <w:pPr>
              <w:spacing w:after="80" w:before="0" w:line="290"/>
              <w:jc w:val="left"/>
            </w:pPr>
            <w:r>
              <w:rPr>
                <w:sz w:val="21"/>
                <w:szCs w:val="21"/>
              </w:rPr>
              <w:t xml:space="preserve">Pada 29 November 2012, Majelis Umum PBB melalui Resolusi 67/19 memberi Palestina status "negara pengamat non-anggota" (non-member observer State). Status ini meningkatkan posisinya di PBB dan memberi akses ke sejumlah perjanjian dan forum internasional, tetapi belum keanggotaan penuh. Kasus ini memperlihatkan bahwa status subjek hukum dapat berjenjang dan bersifat politis. Sebagai latihan, telusuri perkembangan terbaru dari sumber resmi PBB.</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Tahukah Kamu? Republik Mini di Laut</w:t>
            </w:r>
          </w:p>
          <w:p>
            <w:pPr>
              <w:spacing w:after="80" w:before="0" w:line="290"/>
              <w:jc w:val="left"/>
            </w:pPr>
            <w:r>
              <w:rPr>
                <w:sz w:val="21"/>
                <w:szCs w:val="21"/>
              </w:rPr>
              <w:t xml:space="preserve">Sealand adalah bekas benteng militer di Laut Utara, lepas pantai Inggris. Sejak 1967 penghuninya mendeklarasikannya sebagai negara merdeka. Klaim itu tidak diakui satu pun negara. Kasus ini kerap dipakai untuk menunjukkan bahwa menyatakan diri sebagai negara tidak cukup; kamu akan membahas syarat-syaratnya di Bab 5.</w:t>
            </w:r>
          </w:p>
        </w:tc>
      </w:tr>
    </w:tbl>
    <w:p>
      <w:pPr>
        <w:spacing w:after="160" w:line="200"/>
      </w:pP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Subjek hukum internasional memiliki hak, kewajiban, dan kapasitas mengajukan klaim serta membuat perjanjian.</w:t>
            </w:r>
          </w:p>
          <w:p>
            <w:pPr>
              <w:pStyle w:val="ListParagraph"/>
              <w:numPr>
                <w:ilvl w:val="0"/>
                <w:numId w:val="2"/>
              </w:numPr>
              <w:spacing w:after="80" w:line="290"/>
              <w:jc w:val="left"/>
            </w:pPr>
            <w:r>
              <w:rPr>
                <w:sz w:val="21"/>
                <w:szCs w:val="21"/>
              </w:rPr>
              <w:t xml:space="preserve">Negara adalah subjek utama; organisasi internasional diakui sebagai subjek fungsional sejak Reparation for Injuries (1949).</w:t>
            </w:r>
          </w:p>
          <w:p>
            <w:pPr>
              <w:pStyle w:val="ListParagraph"/>
              <w:numPr>
                <w:ilvl w:val="0"/>
                <w:numId w:val="2"/>
              </w:numPr>
              <w:spacing w:after="80" w:line="290"/>
              <w:jc w:val="left"/>
            </w:pPr>
            <w:r>
              <w:rPr>
                <w:sz w:val="21"/>
                <w:szCs w:val="21"/>
              </w:rPr>
              <w:t xml:space="preserve">Individu kini menjadi pemegang hak dan penanggung kewajiban pidana dalam batas tertentu.</w:t>
            </w:r>
          </w:p>
          <w:p>
            <w:pPr>
              <w:pStyle w:val="ListParagraph"/>
              <w:numPr>
                <w:ilvl w:val="0"/>
                <w:numId w:val="2"/>
              </w:numPr>
              <w:spacing w:after="80" w:line="290"/>
              <w:jc w:val="left"/>
            </w:pPr>
            <w:r>
              <w:rPr>
                <w:sz w:val="21"/>
                <w:szCs w:val="21"/>
              </w:rPr>
              <w:t xml:space="preserve">Korporasi dan LSM berpengaruh besar, tetapi status hukumnya berbeda dengan subjek penuh.</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personalitas hukum  •  subjek dan objek  •  Reparation for Injuries  •  sui generis  •  Takhta Suci  •  tanggung jawab pidana individu</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7"/>
              </w:numPr>
              <w:spacing w:after="80" w:line="290"/>
              <w:jc w:val="left"/>
            </w:pPr>
            <w:r>
              <w:rPr>
                <w:sz w:val="21"/>
                <w:szCs w:val="21"/>
              </w:rPr>
              <w:t xml:space="preserve">Mengapa PBB dapat menuntut ganti rugi dalam Reparation for Injuries, padahal ia bukan negara?</w:t>
            </w:r>
          </w:p>
          <w:p>
            <w:pPr>
              <w:pStyle w:val="ListParagraph"/>
              <w:numPr>
                <w:ilvl w:val="0"/>
                <w:numId w:val="7"/>
              </w:numPr>
              <w:spacing w:after="80" w:line="290"/>
              <w:jc w:val="left"/>
            </w:pPr>
            <w:r>
              <w:rPr>
                <w:sz w:val="21"/>
                <w:szCs w:val="21"/>
              </w:rPr>
              <w:t xml:space="preserve">Apakah individu sudah menjadi subjek hukum internasional yang penuh? Argumenkan.</w:t>
            </w:r>
          </w:p>
          <w:p>
            <w:pPr>
              <w:pStyle w:val="ListParagraph"/>
              <w:numPr>
                <w:ilvl w:val="0"/>
                <w:numId w:val="7"/>
              </w:numPr>
              <w:spacing w:after="80" w:line="290"/>
              <w:jc w:val="left"/>
            </w:pPr>
            <w:r>
              <w:rPr>
                <w:sz w:val="21"/>
                <w:szCs w:val="21"/>
              </w:rPr>
              <w:t xml:space="preserve">Apakah korporasi multinasional perlu diberi kewajiban langsung di bawah hukum internasional (misalnya di bidang HAM dan lingkungan)?</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Peta Aktor (25 menit).</w:t>
            </w:r>
            <w:r>
              <w:rPr>
                <w:sz w:val="21"/>
                <w:szCs w:val="21"/>
              </w:rPr>
              <w:t xml:space="preserve"> Pilih satu peristiwa aktual, misalnya konferensi iklim atau krisis kemanusiaan. Kelompok memetakan siapa saja aktor yang terlibat, menggolongkannya sebagai subjek penuh, subjek terbatas, atau sekadar aktor non-hukum, dan menjelaskan alasannya di papan tulis atau kanvas digital.</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"Buatkan tabel perbandingan lima subjek hukum internasional (negara, organisasi internasional, individu, korporasi, Takhta Suci) berisi hak, kewajiban, dan contoh nyata masing-masing. Setelah itu, tantang aku dengan tiga pertanyaan "bagaimana jika" untuk menguji apakah aku memahami perbedaannya."</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(bab personalitas); Antonio Cassese, </w:t>
      </w:r>
      <w:r>
        <w:rPr>
          <w:i/>
          <w:iCs/>
          <w:color w:val="595959"/>
          <w:sz w:val="20"/>
          <w:szCs w:val="20"/>
        </w:rPr>
        <w:t xml:space="preserve">International Law</w:t>
      </w:r>
      <w:r>
        <w:rPr>
          <w:color w:val="595959"/>
          <w:sz w:val="20"/>
          <w:szCs w:val="20"/>
        </w:rPr>
        <w:t xml:space="preserve">; Boer Mauna, </w:t>
      </w:r>
      <w:r>
        <w:rPr>
          <w:i/>
          <w:iCs/>
          <w:color w:val="595959"/>
          <w:sz w:val="20"/>
          <w:szCs w:val="20"/>
        </w:rPr>
        <w:t xml:space="preserve">Hukum Internasional</w:t>
      </w:r>
      <w:r>
        <w:rPr>
          <w:color w:val="595959"/>
          <w:sz w:val="20"/>
          <w:szCs w:val="20"/>
        </w:rPr>
        <w:t xml:space="preserve">; Ahmad Syofyan (2022).</w:t>
      </w:r>
    </w:p>
    <w:p>
      <w:pPr>
        <w:keepNext/>
        <w:pageBreakBefore/>
        <w:spacing w:after="60"/>
      </w:pPr>
      <w:r>
        <w:rPr>
          <w:rFonts w:ascii="Calibri" w:cs="Calibri" w:eastAsia="Calibri" w:hAnsi="Calibri"/>
          <w:b/>
          <w:bCs/>
          <w:color w:val="B8892B"/>
          <w:spacing w:val="60"/>
          <w:sz w:val="22"/>
          <w:szCs w:val="22"/>
        </w:rPr>
        <w:t xml:space="preserve">BAB 5   |   PERTEMUAN 5</w:t>
      </w:r>
    </w:p>
    <w:p>
      <w:pPr>
        <w:pStyle w:val="Heading1"/>
        <w:keepNext/>
        <w:pBdr>
          <w:bottom w:val="single" w:color="B8892B" w:sz="12" w:space="6"/>
        </w:pBdr>
        <w:spacing w:after="100"/>
      </w:pPr>
      <w:r>
        <w:t xml:space="preserve">Kapan Sebuah Wilayah Layak Disebut Negara?</w:t>
      </w:r>
    </w:p>
    <w:p>
      <w:pPr>
        <w:spacing w:after="200"/>
      </w:pPr>
      <w:r>
        <w:rPr>
          <w:rFonts w:ascii="Cambria" w:cs="Cambria" w:eastAsia="Cambria" w:hAnsi="Cambria"/>
          <w:i/>
          <w:iCs/>
          <w:color w:val="595959"/>
          <w:sz w:val="26"/>
          <w:szCs w:val="26"/>
        </w:rPr>
        <w:t xml:space="preserve">Negara, Kedaulatan, dan Pengakuan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Deklarasi dari Pristina</w:t>
            </w:r>
          </w:p>
          <w:p>
            <w:pPr>
              <w:spacing w:after="80" w:before="0" w:line="290"/>
              <w:jc w:val="left"/>
            </w:pPr>
            <w:r>
              <w:rPr>
                <w:sz w:val="21"/>
                <w:szCs w:val="21"/>
              </w:rPr>
              <w:t xml:space="preserve">Pada 17 Februari 2008, parlemen Kosovo mendeklarasikan kemerdekaan dari Serbia. Puluhan negara mengakuinya, sementara banyak negara lain, termasuk Indonesia, sampai kini belum mengakuinya. Serbia menolak keras. Jadi, apakah Kosovo sebuah negara? Pertanyaan ini terlihat sederhana, tetapi jawabannya menyentuh tiga konsep inti hukum internasional: syarat berdirinya negara, kedaulatan, dan pengakuan.</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unsur-unsur negara menurut Konvensi Montevideo 1933;</w:t>
            </w:r>
          </w:p>
          <w:p>
            <w:pPr>
              <w:pStyle w:val="ListParagraph"/>
              <w:numPr>
                <w:ilvl w:val="0"/>
                <w:numId w:val="2"/>
              </w:numPr>
              <w:spacing w:after="80" w:line="290"/>
              <w:jc w:val="left"/>
            </w:pPr>
            <w:r>
              <w:rPr>
                <w:sz w:val="21"/>
                <w:szCs w:val="21"/>
              </w:rPr>
              <w:t xml:space="preserve">menguraikan hakikat, macam, dan pembatasan kedaulatan negara;</w:t>
            </w:r>
          </w:p>
          <w:p>
            <w:pPr>
              <w:pStyle w:val="ListParagraph"/>
              <w:numPr>
                <w:ilvl w:val="0"/>
                <w:numId w:val="2"/>
              </w:numPr>
              <w:spacing w:after="80" w:line="290"/>
              <w:jc w:val="left"/>
            </w:pPr>
            <w:r>
              <w:rPr>
                <w:sz w:val="21"/>
                <w:szCs w:val="21"/>
              </w:rPr>
              <w:t xml:space="preserve">membedakan teori deklaratif dan konstitutif tentang pengakuan serta bentuk-bentuk pengakuan;</w:t>
            </w:r>
          </w:p>
          <w:p>
            <w:pPr>
              <w:pStyle w:val="ListParagraph"/>
              <w:numPr>
                <w:ilvl w:val="0"/>
                <w:numId w:val="2"/>
              </w:numPr>
              <w:spacing w:after="80" w:line="290"/>
              <w:jc w:val="left"/>
            </w:pPr>
            <w:r>
              <w:rPr>
                <w:sz w:val="21"/>
                <w:szCs w:val="21"/>
              </w:rPr>
              <w:t xml:space="preserve">menganalisis kasus berdirinya negara baru, termasuk Indonesia, dengan kerangka hukum internasional.</w:t>
            </w:r>
          </w:p>
        </w:tc>
      </w:tr>
    </w:tbl>
    <w:p>
      <w:pPr>
        <w:spacing w:after="160" w:line="200"/>
      </w:pPr>
    </w:p>
    <w:p>
      <w:pPr>
        <w:pStyle w:val="Heading2"/>
        <w:keepNext/>
        <w:spacing w:after="120" w:before="280"/>
      </w:pPr>
      <w:r>
        <w:t xml:space="preserve">A. Unsur-Unsur Negara</w:t>
      </w:r>
    </w:p>
    <w:p>
      <w:pPr>
        <w:spacing w:after="140" w:before="0" w:line="300"/>
        <w:jc w:val="both"/>
      </w:pPr>
      <w:r>
        <w:rPr>
          <w:sz w:val="22"/>
          <w:szCs w:val="22"/>
        </w:rPr>
        <w:t xml:space="preserve">Rujukan klasik adalah Pasal 1 Konvensi Montevideo 1933 tentang Hak dan Kewajiban Negara. Negara sebagai subjek hukum internasional harus memiliki empat hal:</w:t>
      </w:r>
    </w:p>
    <w:p>
      <w:pPr>
        <w:pStyle w:val="ListParagraph"/>
        <w:numPr>
          <w:ilvl w:val="0"/>
          <w:numId w:val="8"/>
        </w:numPr>
        <w:spacing w:after="80" w:line="290"/>
        <w:jc w:val="left"/>
      </w:pPr>
      <w:r>
        <w:rPr>
          <w:b/>
          <w:bCs/>
          <w:sz w:val="22"/>
          <w:szCs w:val="22"/>
        </w:rPr>
        <w:t xml:space="preserve">Penduduk tetap</w:t>
      </w:r>
      <w:r>
        <w:rPr>
          <w:sz w:val="22"/>
          <w:szCs w:val="22"/>
        </w:rPr>
        <w:t xml:space="preserve"> (</w:t>
      </w:r>
      <w:r>
        <w:rPr>
          <w:i/>
          <w:iCs/>
          <w:sz w:val="22"/>
          <w:szCs w:val="22"/>
        </w:rPr>
        <w:t xml:space="preserve">permanent population</w:t>
      </w:r>
      <w:r>
        <w:rPr>
          <w:sz w:val="22"/>
          <w:szCs w:val="22"/>
        </w:rPr>
        <w:t xml:space="preserve">), tanpa syarat jumlah minimal.</w:t>
      </w:r>
    </w:p>
    <w:p>
      <w:pPr>
        <w:pStyle w:val="ListParagraph"/>
        <w:numPr>
          <w:ilvl w:val="0"/>
          <w:numId w:val="8"/>
        </w:numPr>
        <w:spacing w:after="80" w:line="290"/>
        <w:jc w:val="left"/>
      </w:pPr>
      <w:r>
        <w:rPr>
          <w:b/>
          <w:bCs/>
          <w:sz w:val="22"/>
          <w:szCs w:val="22"/>
        </w:rPr>
        <w:t xml:space="preserve">Wilayah tertentu</w:t>
      </w:r>
      <w:r>
        <w:rPr>
          <w:sz w:val="22"/>
          <w:szCs w:val="22"/>
        </w:rPr>
        <w:t xml:space="preserve"> (</w:t>
      </w:r>
      <w:r>
        <w:rPr>
          <w:i/>
          <w:iCs/>
          <w:sz w:val="22"/>
          <w:szCs w:val="22"/>
        </w:rPr>
        <w:t xml:space="preserve">defined territory</w:t>
      </w:r>
      <w:r>
        <w:rPr>
          <w:sz w:val="22"/>
          <w:szCs w:val="22"/>
        </w:rPr>
        <w:t xml:space="preserve">). Batas yang belum final tidak menggugurkan status negara; Israel dan Albania, misalnya, diterima sebagai negara di masa ketika sebagian perbatasannya masih dipersengketakan.</w:t>
      </w:r>
    </w:p>
    <w:p>
      <w:pPr>
        <w:pStyle w:val="ListParagraph"/>
        <w:numPr>
          <w:ilvl w:val="0"/>
          <w:numId w:val="8"/>
        </w:numPr>
        <w:spacing w:after="80" w:line="290"/>
        <w:jc w:val="left"/>
      </w:pPr>
      <w:r>
        <w:rPr>
          <w:b/>
          <w:bCs/>
          <w:sz w:val="22"/>
          <w:szCs w:val="22"/>
        </w:rPr>
        <w:t xml:space="preserve">Pemerintahan</w:t>
      </w:r>
      <w:r>
        <w:rPr>
          <w:sz w:val="22"/>
          <w:szCs w:val="22"/>
        </w:rPr>
        <w:t xml:space="preserve"> (</w:t>
      </w:r>
      <w:r>
        <w:rPr>
          <w:i/>
          <w:iCs/>
          <w:sz w:val="22"/>
          <w:szCs w:val="22"/>
        </w:rPr>
        <w:t xml:space="preserve">government</w:t>
      </w:r>
      <w:r>
        <w:rPr>
          <w:sz w:val="22"/>
          <w:szCs w:val="22"/>
        </w:rPr>
        <w:t xml:space="preserve">) yang efektif mengendalikan wilayah dan penduduknya.</w:t>
      </w:r>
    </w:p>
    <w:p>
      <w:pPr>
        <w:pStyle w:val="ListParagraph"/>
        <w:numPr>
          <w:ilvl w:val="0"/>
          <w:numId w:val="8"/>
        </w:numPr>
        <w:spacing w:after="80" w:line="290"/>
        <w:jc w:val="left"/>
      </w:pPr>
      <w:r>
        <w:rPr>
          <w:b/>
          <w:bCs/>
          <w:sz w:val="22"/>
          <w:szCs w:val="22"/>
        </w:rPr>
        <w:t xml:space="preserve">Kapasitas menjalin hubungan dengan negara lain</w:t>
      </w:r>
      <w:r>
        <w:rPr>
          <w:sz w:val="22"/>
          <w:szCs w:val="22"/>
        </w:rPr>
        <w:t xml:space="preserve">, yang mencerminkan kemerdekaan.</w:t>
      </w:r>
    </w:p>
    <w:p>
      <w:pPr>
        <w:spacing w:after="80" w:line="200"/>
      </w:pPr>
    </w:p>
    <w:p>
      <w:pPr>
        <w:spacing w:after="140" w:before="0" w:line="300"/>
        <w:jc w:val="both"/>
      </w:pPr>
      <w:r>
        <w:rPr>
          <w:sz w:val="22"/>
          <w:szCs w:val="22"/>
        </w:rPr>
        <w:t xml:space="preserve">Dalam praktik modern, sebagian sarjana menambahkan syarat lain: negara tidak lahir dari pelanggaran norma fundamental, seperti agresi atau penindasan rasial. Karena itu, wilayah yang dibentuk melalui pelanggaran </w:t>
      </w:r>
      <w:r>
        <w:rPr>
          <w:i/>
          <w:iCs/>
          <w:sz w:val="22"/>
          <w:szCs w:val="22"/>
        </w:rPr>
        <w:t xml:space="preserve">jus cogens</w:t>
      </w:r>
      <w:r>
        <w:rPr>
          <w:sz w:val="22"/>
          <w:szCs w:val="22"/>
        </w:rPr>
        <w:t xml:space="preserve"> sering ditolak untuk diakui. Tabel berikut merangkum apa yang membuat Kosovo, Palestina, dan Sealand menarik dibandingkan.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2500"/>
        <w:gridCol w:w="2400"/>
        <w:gridCol w:w="2326"/>
      </w:tblGrid>
      <w:tr>
        <w:trPr>
          <w:cantSplit/>
          <w:tblHeader/>
        </w:trPr>
        <w:tc>
          <w:tcPr>
            <w:tcW w:type="dxa" w:w="18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Entitas</w:t>
            </w:r>
          </w:p>
        </w:tc>
        <w:tc>
          <w:tcPr>
            <w:tcW w:type="dxa" w:w="25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Wilayah dan penduduk</w:t>
            </w:r>
          </w:p>
        </w:tc>
        <w:tc>
          <w:tcPr>
            <w:tcW w:type="dxa" w:w="24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Pemerintah efektif</w:t>
            </w:r>
          </w:p>
        </w:tc>
        <w:tc>
          <w:tcPr>
            <w:tcW w:type="dxa" w:w="23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Pengakuan</w:t>
            </w:r>
          </w:p>
        </w:tc>
      </w:tr>
      <w:tr>
        <w:trPr>
          <w:cantSplit/>
        </w:trPr>
        <w:tc>
          <w:tcPr>
            <w:tcW w:type="dxa" w:w="18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Kosovo</w:t>
            </w:r>
          </w:p>
        </w:tc>
        <w:tc>
          <w:tcPr>
            <w:tcW w:type="dxa" w:w="25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Ada</w:t>
            </w:r>
          </w:p>
        </w:tc>
        <w:tc>
          <w:tcPr>
            <w:tcW w:type="dxa" w:w="24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Ada, dengan dukungan misi internasional</w:t>
            </w:r>
          </w:p>
        </w:tc>
        <w:tc>
          <w:tcPr>
            <w:tcW w:type="dxa" w:w="2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Diakui puluhan negara, belum oleh banyak lainnya</w:t>
            </w:r>
          </w:p>
        </w:tc>
      </w:tr>
      <w:tr>
        <w:trPr>
          <w:cantSplit/>
        </w:trPr>
        <w:tc>
          <w:tcPr>
            <w:tcW w:type="dxa" w:w="18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Palestina</w:t>
            </w:r>
          </w:p>
        </w:tc>
        <w:tc>
          <w:tcPr>
            <w:tcW w:type="dxa" w:w="25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Diperselisihkan</w:t>
            </w:r>
          </w:p>
        </w:tc>
        <w:tc>
          <w:tcPr>
            <w:tcW w:type="dxa" w:w="24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Terbagi</w:t>
            </w:r>
          </w:p>
        </w:tc>
        <w:tc>
          <w:tcPr>
            <w:tcW w:type="dxa" w:w="2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Diakui banyak negara; berstatus pengamat non-anggota di PBB</w:t>
            </w:r>
          </w:p>
        </w:tc>
      </w:tr>
      <w:tr>
        <w:trPr>
          <w:cantSplit/>
        </w:trPr>
        <w:tc>
          <w:tcPr>
            <w:tcW w:type="dxa" w:w="18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Sealand</w:t>
            </w:r>
          </w:p>
        </w:tc>
        <w:tc>
          <w:tcPr>
            <w:tcW w:type="dxa" w:w="25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Sangat kecil, tidak layak huni permanen</w:t>
            </w:r>
          </w:p>
        </w:tc>
        <w:tc>
          <w:tcPr>
            <w:tcW w:type="dxa" w:w="24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Klaim sepihak</w:t>
            </w:r>
          </w:p>
        </w:tc>
        <w:tc>
          <w:tcPr>
            <w:tcW w:type="dxa" w:w="2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Tidak ada yang mengakui</w:t>
            </w:r>
          </w:p>
        </w:tc>
      </w:tr>
    </w:tbl>
    <w:p>
      <w:pPr>
        <w:spacing w:after="160" w:line="200"/>
      </w:pPr>
    </w:p>
    <w:p>
      <w:pPr>
        <w:pStyle w:val="Heading2"/>
        <w:keepNext/>
        <w:spacing w:after="120" w:before="280"/>
      </w:pPr>
      <w:r>
        <w:t xml:space="preserve">B. Kedaulatan: Kekuasaan Tertinggi dengan Batas</w:t>
      </w:r>
    </w:p>
    <w:p>
      <w:pPr>
        <w:spacing w:after="140" w:before="0" w:line="300"/>
        <w:jc w:val="both"/>
      </w:pPr>
      <w:r>
        <w:rPr>
          <w:sz w:val="22"/>
          <w:szCs w:val="22"/>
        </w:rPr>
        <w:t xml:space="preserve">Kedaulatan adalah kekuasaan tertinggi negara di dalam wilayahnya (kedaulatan internal) dan kemerdekaannya dari kekuasaan negara lain dalam hubungan internasional (kedaulatan eksternal). Hakim Max Huber dalam arbitrase </w:t>
      </w:r>
      <w:r>
        <w:rPr>
          <w:i/>
          <w:iCs/>
          <w:sz w:val="22"/>
          <w:szCs w:val="22"/>
        </w:rPr>
        <w:t xml:space="preserve">Island of Palmas</w:t>
      </w:r>
      <w:r>
        <w:rPr>
          <w:sz w:val="22"/>
          <w:szCs w:val="22"/>
        </w:rPr>
        <w:t xml:space="preserve"> (1928) merumuskannya sebagai kemerdekaan, dan ia menekankan bahwa kedaulatan atas wilayah membawa kewajiban melindungi hak negara lain di wilayah itu.</w:t>
      </w:r>
    </w:p>
    <w:p>
      <w:pPr>
        <w:spacing w:after="140" w:before="0" w:line="300"/>
        <w:jc w:val="both"/>
      </w:pPr>
      <w:r>
        <w:rPr>
          <w:sz w:val="22"/>
          <w:szCs w:val="22"/>
        </w:rPr>
        <w:t xml:space="preserve">Namun, kedaulatan tidak mutlak. Ia dibatasi oleh (1) perjanjian yang dibuat negara sendiri, (2) Piagam PBB, terutama larangan penggunaan kekerasan dan prinsip nonintervensi, (3) hukum kebiasaan, dan (4) norma </w:t>
      </w:r>
      <w:r>
        <w:rPr>
          <w:i/>
          <w:iCs/>
          <w:sz w:val="22"/>
          <w:szCs w:val="22"/>
        </w:rPr>
        <w:t xml:space="preserve">jus cogens</w:t>
      </w:r>
      <w:r>
        <w:rPr>
          <w:sz w:val="22"/>
          <w:szCs w:val="22"/>
        </w:rPr>
        <w:t xml:space="preserve">. Ada juga prinsip </w:t>
      </w:r>
      <w:r>
        <w:rPr>
          <w:b/>
          <w:bCs/>
          <w:sz w:val="22"/>
          <w:szCs w:val="22"/>
        </w:rPr>
        <w:t xml:space="preserve">persamaan kedaulatan</w:t>
      </w:r>
      <w:r>
        <w:rPr>
          <w:sz w:val="22"/>
          <w:szCs w:val="22"/>
        </w:rPr>
        <w:t xml:space="preserve"> (</w:t>
      </w:r>
      <w:r>
        <w:rPr>
          <w:i/>
          <w:iCs/>
          <w:sz w:val="22"/>
          <w:szCs w:val="22"/>
        </w:rPr>
        <w:t xml:space="preserve">sovereign equality</w:t>
      </w:r>
      <w:r>
        <w:rPr>
          <w:sz w:val="22"/>
          <w:szCs w:val="22"/>
        </w:rPr>
        <w:t xml:space="preserve">): semua negara sama di hadapan hukum, terlepas dari luas wilayah atau kekuatan militernya. Prinsip </w:t>
      </w:r>
      <w:r>
        <w:rPr>
          <w:b/>
          <w:bCs/>
          <w:sz w:val="22"/>
          <w:szCs w:val="22"/>
        </w:rPr>
        <w:t xml:space="preserve">nonintervensi</w:t>
      </w:r>
      <w:r>
        <w:rPr>
          <w:sz w:val="22"/>
          <w:szCs w:val="22"/>
        </w:rPr>
        <w:t xml:space="preserve"> melarang negara mencampuri urusan dalam negeri negara lain secara koersif, sebagaimana ditegaskan dalam putusan </w:t>
      </w:r>
      <w:r>
        <w:rPr>
          <w:i/>
          <w:iCs/>
          <w:sz w:val="22"/>
          <w:szCs w:val="22"/>
        </w:rPr>
        <w:t xml:space="preserve">Nicaragua</w:t>
      </w:r>
      <w:r>
        <w:rPr>
          <w:sz w:val="22"/>
          <w:szCs w:val="22"/>
        </w:rPr>
        <w:t xml:space="preserve"> (1986).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3C8D5A" w:sz="28"/>
              <w:bottom w:val="none" w:color="FFFFFF" w:sz="0"/>
              <w:right w:val="none" w:color="FFFFFF" w:sz="0"/>
            </w:tcBorders>
            <w:shd w:fill="EAF4EC" w:color="auto" w:val="clear"/>
            <w:tcMar>
              <w:top w:type="dxa" w:w="140"/>
              <w:left w:type="dxa" w:w="240"/>
              <w:bottom w:type="dxa" w:w="100"/>
              <w:right w:type="dxa" w:w="220"/>
            </w:tcMar>
          </w:tcPr>
          <w:p>
            <w:pPr>
              <w:keepNext/>
              <w:spacing w:after="80" w:line="260"/>
            </w:pPr>
            <w:r>
              <w:rPr>
                <w:rFonts w:ascii="Calibri" w:cs="Calibri" w:eastAsia="Calibri" w:hAnsi="Calibri"/>
                <w:b/>
                <w:bCs/>
                <w:color w:val="3C8D5A"/>
                <w:sz w:val="22"/>
                <w:szCs w:val="22"/>
              </w:rPr>
              <w:t xml:space="preserve">Cara Memperoleh Kedaulatan Wilayah</w:t>
            </w:r>
          </w:p>
          <w:p>
            <w:pPr>
              <w:spacing w:after="80" w:before="0" w:line="290"/>
              <w:jc w:val="left"/>
            </w:pPr>
            <w:r>
              <w:rPr>
                <w:sz w:val="21"/>
                <w:szCs w:val="21"/>
              </w:rPr>
              <w:t xml:space="preserve">Hukum klasik mengenal okupasi wilayah tak bertuan, penyerahan (cessie), akresi (pertambahan alamiah), preskripsi (penguasaan damai yang lama), dan aneksasi. Kini, aneksasi lewat penggunaan kekerasan dilarang. Dalam sengketa modern, pengadilan menimbang faktor seperti perjanjian, uti possidetis, dan </w:t>
            </w:r>
            <w:r>
              <w:rPr>
                <w:i/>
                <w:iCs/>
                <w:sz w:val="21"/>
                <w:szCs w:val="21"/>
              </w:rPr>
              <w:t xml:space="preserve">effectivités</w:t>
            </w:r>
            <w:r>
              <w:rPr>
                <w:sz w:val="21"/>
                <w:szCs w:val="21"/>
              </w:rPr>
              <w:t xml:space="preserve">, yaitu bukti pelaksanaan kekuasaan negara secara nyata. Pendekatan terakhir inilah yang menentukan putusan Sipadan-Ligitan (Bab 10).</w:t>
            </w:r>
          </w:p>
        </w:tc>
      </w:tr>
    </w:tbl>
    <w:p>
      <w:pPr>
        <w:spacing w:after="160" w:line="200"/>
      </w:pPr>
    </w:p>
    <w:p>
      <w:pPr>
        <w:pStyle w:val="Heading2"/>
        <w:keepNext/>
        <w:spacing w:after="120" w:before="280"/>
      </w:pPr>
      <w:r>
        <w:t xml:space="preserve">C. Pengakuan: Tepuk Tangan Masyarakat Internasional</w:t>
      </w:r>
    </w:p>
    <w:p>
      <w:pPr>
        <w:spacing w:after="140" w:before="0" w:line="300"/>
        <w:jc w:val="both"/>
      </w:pPr>
      <w:r>
        <w:rPr>
          <w:sz w:val="22"/>
          <w:szCs w:val="22"/>
        </w:rPr>
        <w:t xml:space="preserve">Pengakuan (</w:t>
      </w:r>
      <w:r>
        <w:rPr>
          <w:i/>
          <w:iCs/>
          <w:sz w:val="22"/>
          <w:szCs w:val="22"/>
        </w:rPr>
        <w:t xml:space="preserve">recognition</w:t>
      </w:r>
      <w:r>
        <w:rPr>
          <w:sz w:val="22"/>
          <w:szCs w:val="22"/>
        </w:rPr>
        <w:t xml:space="preserve">) adalah pernyataan suatu negara yang menerima keberadaan negara atau pemerintah baru serta bersedia menjalin hubungan hukum dengannya. Dua teori utama menjelaskan efek hukumnya: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3563"/>
        <w:gridCol w:w="3563"/>
      </w:tblGrid>
      <w:tr>
        <w:trPr>
          <w:cantSplit/>
          <w:tblHeader/>
        </w:trPr>
        <w:tc>
          <w:tcPr>
            <w:tcW w:type="dxa" w:w="19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Aspek</w:t>
            </w:r>
          </w:p>
        </w:tc>
        <w:tc>
          <w:tcPr>
            <w:tcW w:type="dxa" w:w="3563"/>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Teori Deklaratif</w:t>
            </w:r>
          </w:p>
        </w:tc>
        <w:tc>
          <w:tcPr>
            <w:tcW w:type="dxa" w:w="3563"/>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Teori Konstitutif</w:t>
            </w:r>
          </w:p>
        </w:tc>
      </w:tr>
      <w:tr>
        <w:trPr>
          <w:cantSplit/>
        </w:trPr>
        <w:tc>
          <w:tcPr>
            <w:tcW w:type="dxa" w:w="1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Pokok pandangan</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Negara ada begitu unsur-unsur objektifnya terpenuhi; pengakuan hanya mengonfirmasi</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Negara baru menjadi subjek hukum internasional setelah diakui negara-negara lain</w:t>
            </w:r>
          </w:p>
        </w:tc>
      </w:tr>
      <w:tr>
        <w:trPr>
          <w:cantSplit/>
        </w:trPr>
        <w:tc>
          <w:tcPr>
            <w:tcW w:type="dxa" w:w="1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Kelebihan</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Melindungi negara baru dari pengakuan yang bersifat politis</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Menekankan peran masyarakat internasional</w:t>
            </w:r>
          </w:p>
        </w:tc>
      </w:tr>
      <w:tr>
        <w:trPr>
          <w:cantSplit/>
        </w:trPr>
        <w:tc>
          <w:tcPr>
            <w:tcW w:type="dxa" w:w="1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Kelemahan</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Sulit menjelaskan mengapa pengakuan begitu penting dalam praktik</w:t>
            </w:r>
          </w:p>
        </w:tc>
        <w:tc>
          <w:tcPr>
            <w:tcW w:type="dxa" w:w="35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Menimbulkan absurditas: negara bisa "ada" bagi sebagian pihak dan "tidak ada" bagi pihak lain</w:t>
            </w:r>
          </w:p>
        </w:tc>
      </w:tr>
      <w:tr>
        <w:trPr>
          <w:cantSplit/>
        </w:trPr>
        <w:tc>
          <w:tcPr>
            <w:tcW w:type="dxa" w:w="1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Pandangan dominan</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Lebih banyak diterima dalam hukum internasional modern</w:t>
            </w:r>
          </w:p>
        </w:tc>
        <w:tc>
          <w:tcPr>
            <w:tcW w:type="dxa" w:w="35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Masih berpengaruh sebagai gambaran realitas politik</w:t>
            </w:r>
          </w:p>
        </w:tc>
      </w:tr>
    </w:tbl>
    <w:p>
      <w:pPr>
        <w:spacing w:after="160" w:line="200"/>
      </w:pPr>
    </w:p>
    <w:p>
      <w:pPr>
        <w:spacing w:after="140" w:before="0" w:line="300"/>
        <w:jc w:val="both"/>
      </w:pPr>
      <w:r>
        <w:rPr>
          <w:sz w:val="22"/>
          <w:szCs w:val="22"/>
        </w:rPr>
        <w:t xml:space="preserve">Bentuk-bentuk pengakuan yang perlu dikenal:</w:t>
      </w:r>
    </w:p>
    <w:p>
      <w:pPr>
        <w:pStyle w:val="ListParagraph"/>
        <w:numPr>
          <w:ilvl w:val="0"/>
          <w:numId w:val="2"/>
        </w:numPr>
        <w:spacing w:after="80" w:line="290"/>
        <w:jc w:val="left"/>
      </w:pPr>
      <w:r>
        <w:rPr>
          <w:b/>
          <w:bCs/>
          <w:sz w:val="22"/>
          <w:szCs w:val="22"/>
        </w:rPr>
        <w:t xml:space="preserve">De facto dan de jure</w:t>
      </w:r>
      <w:r>
        <w:rPr>
          <w:sz w:val="22"/>
          <w:szCs w:val="22"/>
        </w:rPr>
        <w:t xml:space="preserve">: pengakuan </w:t>
      </w:r>
      <w:r>
        <w:rPr>
          <w:i/>
          <w:iCs/>
          <w:sz w:val="22"/>
          <w:szCs w:val="22"/>
        </w:rPr>
        <w:t xml:space="preserve">de facto</w:t>
      </w:r>
      <w:r>
        <w:rPr>
          <w:sz w:val="22"/>
          <w:szCs w:val="22"/>
        </w:rPr>
        <w:t xml:space="preserve"> bersifat sementara dan didasarkan kenyataan penguasaan, sedangkan pengakuan </w:t>
      </w:r>
      <w:r>
        <w:rPr>
          <w:i/>
          <w:iCs/>
          <w:sz w:val="22"/>
          <w:szCs w:val="22"/>
        </w:rPr>
        <w:t xml:space="preserve">de jure</w:t>
      </w:r>
      <w:r>
        <w:rPr>
          <w:sz w:val="22"/>
          <w:szCs w:val="22"/>
        </w:rPr>
        <w:t xml:space="preserve"> bersifat final dan penuh.</w:t>
      </w:r>
    </w:p>
    <w:p>
      <w:pPr>
        <w:pStyle w:val="ListParagraph"/>
        <w:numPr>
          <w:ilvl w:val="0"/>
          <w:numId w:val="2"/>
        </w:numPr>
        <w:spacing w:after="80" w:line="290"/>
        <w:jc w:val="left"/>
      </w:pPr>
      <w:r>
        <w:rPr>
          <w:b/>
          <w:bCs/>
          <w:sz w:val="22"/>
          <w:szCs w:val="22"/>
        </w:rPr>
        <w:t xml:space="preserve">Pengakuan negara dan pengakuan pemerintah</w:t>
      </w:r>
      <w:r>
        <w:rPr>
          <w:sz w:val="22"/>
          <w:szCs w:val="22"/>
        </w:rPr>
        <w:t xml:space="preserve">: pengakuan pemerintah baru relevan bila terjadi kudeta atau revolusi. Doktrin Estrada (Meksiko) memilih tidak mengeluarkan pernyataan pengakuan pemerintah sama sekali, sedangkan Doktrin Tobar menolak mengakui pemerintah yang naik lewat cara inkonstitusional.</w:t>
      </w:r>
    </w:p>
    <w:p>
      <w:pPr>
        <w:pStyle w:val="ListParagraph"/>
        <w:numPr>
          <w:ilvl w:val="0"/>
          <w:numId w:val="2"/>
        </w:numPr>
        <w:spacing w:after="80" w:line="290"/>
        <w:jc w:val="left"/>
      </w:pPr>
      <w:r>
        <w:rPr>
          <w:b/>
          <w:bCs/>
          <w:sz w:val="22"/>
          <w:szCs w:val="22"/>
        </w:rPr>
        <w:t xml:space="preserve">Pengakuan tegas dan diam-diam (implied)</w:t>
      </w:r>
      <w:r>
        <w:rPr>
          <w:sz w:val="22"/>
          <w:szCs w:val="22"/>
        </w:rPr>
        <w:t xml:space="preserve">: dapat berupa pernyataan resmi atau tindakan seperti membuka hubungan diplomatik.</w:t>
      </w:r>
    </w:p>
    <w:p>
      <w:pPr>
        <w:pStyle w:val="ListParagraph"/>
        <w:numPr>
          <w:ilvl w:val="0"/>
          <w:numId w:val="2"/>
        </w:numPr>
        <w:spacing w:after="80" w:line="290"/>
        <w:jc w:val="left"/>
      </w:pPr>
      <w:r>
        <w:rPr>
          <w:b/>
          <w:bCs/>
          <w:sz w:val="22"/>
          <w:szCs w:val="22"/>
        </w:rPr>
        <w:t xml:space="preserve">Non-pengakuan kolektif</w:t>
      </w:r>
      <w:r>
        <w:rPr>
          <w:sz w:val="22"/>
          <w:szCs w:val="22"/>
        </w:rPr>
        <w:t xml:space="preserve">: negara-negara enggan mengakui situasi yang lahir dari pelanggaran hukum. Doktrin Stimson (1932) menolak pengakuan atas wilayah yang diperoleh dengan kekerasan. Republik Turki Siprus Utara, misalnya, hanya diakui Turki.</w:t>
      </w:r>
    </w:p>
    <w:p>
      <w:pPr>
        <w:spacing w:after="8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Kasus: Pendapat Penasihat ICJ tentang Kosovo (2010)</w:t>
            </w:r>
          </w:p>
          <w:p>
            <w:pPr>
              <w:spacing w:after="80" w:before="0" w:line="290"/>
              <w:jc w:val="left"/>
            </w:pPr>
            <w:r>
              <w:rPr>
                <w:sz w:val="21"/>
                <w:szCs w:val="21"/>
              </w:rPr>
              <w:t xml:space="preserve">Majelis Umum PBB meminta ICJ menilai apakah deklarasi kemerdekaan Kosovo sesuai hukum internasional. Pada 22 Juli 2010, ICJ menyimpulkan bahwa hukum internasional umum tidak memuat larangan terhadap deklarasi kemerdekaan. ICJ tidak menjawab apakah Kosovo telah menjadi negara atau apakah negara lain wajib mengakuinya. Putusan ini menunjukkan bahwa pertanyaan "apa itu negara" dan "siapa yang mengakui" bisa dipisahkan.</w:t>
            </w:r>
          </w:p>
        </w:tc>
      </w:tr>
    </w:tbl>
    <w:p>
      <w:pPr>
        <w:spacing w:after="160" w:line="200"/>
      </w:pPr>
    </w:p>
    <w:p>
      <w:pPr>
        <w:pStyle w:val="Heading2"/>
        <w:keepNext/>
        <w:spacing w:after="120" w:before="280"/>
      </w:pPr>
      <w:r>
        <w:t xml:space="preserve">D. Penentuan Nasib Sendiri dan Suksesi Negara</w:t>
      </w:r>
    </w:p>
    <w:p>
      <w:pPr>
        <w:spacing w:after="140" w:before="0" w:line="300"/>
        <w:jc w:val="both"/>
      </w:pPr>
      <w:r>
        <w:rPr>
          <w:sz w:val="22"/>
          <w:szCs w:val="22"/>
        </w:rPr>
        <w:t xml:space="preserve">Hak menentukan nasib sendiri (</w:t>
      </w:r>
      <w:r>
        <w:rPr>
          <w:i/>
          <w:iCs/>
          <w:sz w:val="22"/>
          <w:szCs w:val="22"/>
        </w:rPr>
        <w:t xml:space="preserve">self-determination</w:t>
      </w:r>
      <w:r>
        <w:rPr>
          <w:sz w:val="22"/>
          <w:szCs w:val="22"/>
        </w:rPr>
        <w:t xml:space="preserve">) adalah asas yang tercantum dalam Piagam PBB, Resolusi 1514 (XV) dan 2625 (XXV), serta Pasal 1 kovenan HAM 1966. Dalam konteks kolonial, hak ini melahirkan puluhan negara baru. Di luar konteks kolonial, penerapannya lebih terbatas dan sensitif karena berhadapan dengan prinsip integritas wilayah. Praktik lain yang layak dicatat adalah pelaksanaan referendum di bawah pengawasan PBB, seperti jajak pendapat di Timor Timur pada 1999 dan referendum Sudan Selatan yang berujung pada berdirinya negara itu pada 2011.</w:t>
      </w:r>
    </w:p>
    <w:p>
      <w:pPr>
        <w:spacing w:after="140" w:before="0" w:line="300"/>
        <w:jc w:val="both"/>
      </w:pPr>
      <w:r>
        <w:rPr>
          <w:b/>
          <w:bCs/>
          <w:sz w:val="22"/>
          <w:szCs w:val="22"/>
        </w:rPr>
        <w:t xml:space="preserve">Suksesi negara</w:t>
      </w:r>
      <w:r>
        <w:rPr>
          <w:sz w:val="22"/>
          <w:szCs w:val="22"/>
        </w:rPr>
        <w:t xml:space="preserve"> terjadi ketika satu negara digantikan negara lain dalam tanggung jawab hubungan internasional suatu wilayah, misalnya pembubaran Uni Soviet (1991), Yugoslavia, dan Cekoslowakia. Isu yang muncul: apakah perjanjian, utang, aset, dan keanggotaan organisasi internasional beralih kepada negara pengganti? Jawabannya bergantung pada jenis suksesi dan diatur sebagian oleh Konvensi Wina 1978 dan 1983.</w:t>
      </w:r>
    </w:p>
    <w:p>
      <w:pPr>
        <w:pStyle w:val="Heading2"/>
        <w:keepNext/>
        <w:spacing w:after="120" w:before="280"/>
      </w:pPr>
      <w:r>
        <w:t xml:space="preserve">E. Indonesia: Proklamasi dan Perjuangan Pengakuan</w:t>
      </w:r>
    </w:p>
    <w:p>
      <w:pPr>
        <w:spacing w:after="140" w:before="0" w:line="300"/>
        <w:jc w:val="both"/>
      </w:pPr>
      <w:r>
        <w:rPr>
          <w:sz w:val="22"/>
          <w:szCs w:val="22"/>
        </w:rPr>
        <w:t xml:space="preserve">Indonesia memproklamasikan kemerdekaan pada 17 Agustus 1945. Dilihat dari unsur negara, Indonesia telah memiliki penduduk, wilayah, dan pemerintahan. Namun, pengakuan internasional diperjuangkan lewat diplomasi. Mesir menjadi salah satu negara pertama yang mengakui Indonesia secara </w:t>
      </w:r>
      <w:r>
        <w:rPr>
          <w:i/>
          <w:iCs/>
          <w:sz w:val="22"/>
          <w:szCs w:val="22"/>
        </w:rPr>
        <w:t xml:space="preserve">de jure</w:t>
      </w:r>
      <w:r>
        <w:rPr>
          <w:sz w:val="22"/>
          <w:szCs w:val="22"/>
        </w:rPr>
        <w:t xml:space="preserve"> pada 1947, disusul negara-negara Liga Arab lainnya. Belanda mengakui kedaulatan Indonesia pada 27 Desember 1949 melalui hasil Konferensi Meja Bundar. Perjalanan ini memperlihatkan bahwa proklamasi menciptakan negara, tetapi pengakuan memperkuat posisi politik dan hukumnya di panggung dunia.</w:t>
      </w: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Unsur negara menurut Montevideo: penduduk tetap, wilayah tertentu, pemerintahan, dan kapasitas berhubungan dengan negara lain.</w:t>
            </w:r>
          </w:p>
          <w:p>
            <w:pPr>
              <w:pStyle w:val="ListParagraph"/>
              <w:numPr>
                <w:ilvl w:val="0"/>
                <w:numId w:val="2"/>
              </w:numPr>
              <w:spacing w:after="80" w:line="290"/>
              <w:jc w:val="left"/>
            </w:pPr>
            <w:r>
              <w:rPr>
                <w:sz w:val="21"/>
                <w:szCs w:val="21"/>
              </w:rPr>
              <w:t xml:space="preserve">Kedaulatan adalah kekuasaan tertinggi yang dibatasi hukum internasional, dan semua negara berkedudukan sederajat.</w:t>
            </w:r>
          </w:p>
          <w:p>
            <w:pPr>
              <w:pStyle w:val="ListParagraph"/>
              <w:numPr>
                <w:ilvl w:val="0"/>
                <w:numId w:val="2"/>
              </w:numPr>
              <w:spacing w:after="80" w:line="290"/>
              <w:jc w:val="left"/>
            </w:pPr>
            <w:r>
              <w:rPr>
                <w:sz w:val="21"/>
                <w:szCs w:val="21"/>
              </w:rPr>
              <w:t xml:space="preserve">Pengakuan dijelaskan oleh teori deklaratif dan konstitutif; pandangan modern condong ke deklaratif tanpa mengabaikan peran politik pengakuan.</w:t>
            </w:r>
          </w:p>
          <w:p>
            <w:pPr>
              <w:pStyle w:val="ListParagraph"/>
              <w:numPr>
                <w:ilvl w:val="0"/>
                <w:numId w:val="2"/>
              </w:numPr>
              <w:spacing w:after="80" w:line="290"/>
              <w:jc w:val="left"/>
            </w:pPr>
            <w:r>
              <w:rPr>
                <w:sz w:val="21"/>
                <w:szCs w:val="21"/>
              </w:rPr>
              <w:t xml:space="preserve">Penentuan nasib sendiri dan suksesi negara membentuk peta negara-negara dunia.</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Konvensi Montevideo  •  kedaulatan  •  pengakuan de facto dan de jure  •  teori deklaratif  •  teori konstitutif  •  penentuan nasib sendiri  •  suksesi negara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9"/>
              </w:numPr>
              <w:spacing w:after="80" w:line="290"/>
              <w:jc w:val="left"/>
            </w:pPr>
            <w:r>
              <w:rPr>
                <w:sz w:val="21"/>
                <w:szCs w:val="21"/>
              </w:rPr>
              <w:t xml:space="preserve">Apakah entitas yang tidak diakui oleh satu pun negara tetap dapat dianggap negara? Jelaskan dengan teori.</w:t>
            </w:r>
          </w:p>
          <w:p>
            <w:pPr>
              <w:pStyle w:val="ListParagraph"/>
              <w:numPr>
                <w:ilvl w:val="0"/>
                <w:numId w:val="9"/>
              </w:numPr>
              <w:spacing w:after="80" w:line="290"/>
              <w:jc w:val="left"/>
            </w:pPr>
            <w:r>
              <w:rPr>
                <w:sz w:val="21"/>
                <w:szCs w:val="21"/>
              </w:rPr>
              <w:t xml:space="preserve">Bandingkan Doktrin Estrada dan Doktrin Tobar. Mana yang lebih sesuai untuk dunia saat ini?</w:t>
            </w:r>
          </w:p>
          <w:p>
            <w:pPr>
              <w:pStyle w:val="ListParagraph"/>
              <w:numPr>
                <w:ilvl w:val="0"/>
                <w:numId w:val="9"/>
              </w:numPr>
              <w:spacing w:after="80" w:line="290"/>
              <w:jc w:val="left"/>
            </w:pPr>
            <w:r>
              <w:rPr>
                <w:sz w:val="21"/>
                <w:szCs w:val="21"/>
              </w:rPr>
              <w:t xml:space="preserve">Mengapa proklamasi 17 Agustus 1945 tetap membutuhkan pengakuan internasional?</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Sidang Pengakuan (30 menit).</w:t>
            </w:r>
            <w:r>
              <w:rPr>
                <w:sz w:val="21"/>
                <w:szCs w:val="21"/>
              </w:rPr>
              <w:t xml:space="preserve"> Kelas menjadi Sidang Majelis Umum PBB. Tiga kelompok mewakili negara yang mendukung, menolak, dan netral terhadap pengakuan sebuah entitas fiktif "Republik Pulau Karang". Kelompok memakai kriteria Montevideo, prinsip nonintervensi, dan integritas wilayah untuk menyusun argumen.</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"Anggap dirimu diplomat senior. Jelaskan kepadaku perbedaan pengakuan de facto dan de jure, lalu buatkan tiga skenario singkat yang mengharuskan aku memilih jenis pengakuan yang tepat dan alasannya. Beri umpan balik pada jawabanku."</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J.G. Starke, </w:t>
      </w:r>
      <w:r>
        <w:rPr>
          <w:i/>
          <w:iCs/>
          <w:color w:val="595959"/>
          <w:sz w:val="20"/>
          <w:szCs w:val="20"/>
        </w:rPr>
        <w:t xml:space="preserve">Introduction to International Law</w:t>
      </w:r>
      <w:r>
        <w:rPr>
          <w:color w:val="595959"/>
          <w:sz w:val="20"/>
          <w:szCs w:val="20"/>
        </w:rPr>
        <w:t xml:space="preserve">; Mochtar Kusumaatmadja, </w:t>
      </w:r>
      <w:r>
        <w:rPr>
          <w:i/>
          <w:iCs/>
          <w:color w:val="595959"/>
          <w:sz w:val="20"/>
          <w:szCs w:val="20"/>
        </w:rPr>
        <w:t xml:space="preserve">Pengantar Hukum Internasional</w:t>
      </w:r>
      <w:r>
        <w:rPr>
          <w:color w:val="595959"/>
          <w:sz w:val="20"/>
          <w:szCs w:val="20"/>
        </w:rPr>
        <w:t xml:space="preserve">; Arman Anwar dkk. (2021).</w:t>
      </w:r>
    </w:p>
    <w:p>
      <w:pPr>
        <w:keepNext/>
        <w:pageBreakBefore/>
        <w:spacing w:after="60"/>
      </w:pPr>
      <w:r>
        <w:rPr>
          <w:rFonts w:ascii="Calibri" w:cs="Calibri" w:eastAsia="Calibri" w:hAnsi="Calibri"/>
          <w:b/>
          <w:bCs/>
          <w:color w:val="B8892B"/>
          <w:spacing w:val="60"/>
          <w:sz w:val="22"/>
          <w:szCs w:val="22"/>
        </w:rPr>
        <w:t xml:space="preserve">BAB 6   |   PERTEMUAN 6</w:t>
      </w:r>
    </w:p>
    <w:p>
      <w:pPr>
        <w:pStyle w:val="Heading1"/>
        <w:keepNext/>
        <w:pBdr>
          <w:bottom w:val="single" w:color="B8892B" w:sz="12" w:space="6"/>
        </w:pBdr>
        <w:spacing w:after="100"/>
      </w:pPr>
      <w:r>
        <w:t xml:space="preserve">Dua Rumah, Satu Penghuni</w:t>
      </w:r>
    </w:p>
    <w:p>
      <w:pPr>
        <w:spacing w:after="200"/>
      </w:pPr>
      <w:r>
        <w:rPr>
          <w:rFonts w:ascii="Cambria" w:cs="Cambria" w:eastAsia="Cambria" w:hAnsi="Cambria"/>
          <w:i/>
          <w:iCs/>
          <w:color w:val="595959"/>
          <w:sz w:val="26"/>
          <w:szCs w:val="26"/>
        </w:rPr>
        <w:t xml:space="preserve">Hubungan Hukum Internasional dan Hukum 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Perjanjian yang Sudah Diteken, Lalu Bagaimana?</w:t>
            </w:r>
          </w:p>
          <w:p>
            <w:pPr>
              <w:spacing w:after="80" w:before="0" w:line="290"/>
              <w:jc w:val="left"/>
            </w:pPr>
            <w:r>
              <w:rPr>
                <w:sz w:val="21"/>
                <w:szCs w:val="21"/>
              </w:rPr>
              <w:t xml:space="preserve">Indonesia meratifikasi sebuah konvensi internasional. Beberapa tahun kemudian, seseorang menggugat di pengadilan dengan berpegang pada konvensi itu, padahal belum ada undang-undang pelaksananya. Bolehkah hakim Indonesia memakai konvensi itu langsung? Atau sebaliknya, jika undang-undang nasional bertentangan dengan perjanjian yang telah diratifikasi, mana yang harus menang? Inilah teka-teki hubungan antara dua sistem hukum yang sama-sama mengklaim otoritas.</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teori monisme, dualisme, dan koordinasi;</w:t>
            </w:r>
          </w:p>
          <w:p>
            <w:pPr>
              <w:pStyle w:val="ListParagraph"/>
              <w:numPr>
                <w:ilvl w:val="0"/>
                <w:numId w:val="2"/>
              </w:numPr>
              <w:spacing w:after="80" w:line="290"/>
              <w:jc w:val="left"/>
            </w:pPr>
            <w:r>
              <w:rPr>
                <w:sz w:val="21"/>
                <w:szCs w:val="21"/>
              </w:rPr>
              <w:t xml:space="preserve">menguraikan cara hukum internasional masuk ke dalam sistem hukum nasional (adopsi dan transformasi);</w:t>
            </w:r>
          </w:p>
          <w:p>
            <w:pPr>
              <w:pStyle w:val="ListParagraph"/>
              <w:numPr>
                <w:ilvl w:val="0"/>
                <w:numId w:val="2"/>
              </w:numPr>
              <w:spacing w:after="80" w:line="290"/>
              <w:jc w:val="left"/>
            </w:pPr>
            <w:r>
              <w:rPr>
                <w:sz w:val="21"/>
                <w:szCs w:val="21"/>
              </w:rPr>
              <w:t xml:space="preserve">menjelaskan prinsip bahwa negara tidak boleh berlindung di balik hukum nasional untuk menghindari kewajiban internasional;</w:t>
            </w:r>
          </w:p>
          <w:p>
            <w:pPr>
              <w:pStyle w:val="ListParagraph"/>
              <w:numPr>
                <w:ilvl w:val="0"/>
                <w:numId w:val="2"/>
              </w:numPr>
              <w:spacing w:after="80" w:line="290"/>
              <w:jc w:val="left"/>
            </w:pPr>
            <w:r>
              <w:rPr>
                <w:sz w:val="21"/>
                <w:szCs w:val="21"/>
              </w:rPr>
              <w:t xml:space="preserve">menganalisis praktik Indonesia berdasarkan UUD 1945, UU No. 24 Tahun 2000, dan UU No. 37 Tahun 1999.</w:t>
            </w:r>
          </w:p>
        </w:tc>
      </w:tr>
    </w:tbl>
    <w:p>
      <w:pPr>
        <w:spacing w:after="160" w:line="200"/>
      </w:pPr>
    </w:p>
    <w:p>
      <w:pPr>
        <w:pStyle w:val="Heading2"/>
        <w:keepNext/>
        <w:spacing w:after="120" w:before="280"/>
      </w:pPr>
      <w:r>
        <w:t xml:space="preserve">A. Dua Sistem, Satu Pertanyaan</w:t>
      </w:r>
    </w:p>
    <w:p>
      <w:pPr>
        <w:spacing w:after="140" w:before="0" w:line="300"/>
        <w:jc w:val="both"/>
      </w:pPr>
      <w:r>
        <w:rPr>
          <w:sz w:val="22"/>
          <w:szCs w:val="22"/>
        </w:rPr>
        <w:t xml:space="preserve">Hukum internasional dan hukum nasional adalah dua sistem yang berbeda sumber, subjek, dan cara berlakunya. Karena keduanya beroperasi pada waktu yang sama, kita perlu tahu apakah keduanya terpisah, bersatu, atau saling melengkapi. Tiga teori berikut lahir untuk menjawabnya.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3763"/>
        <w:gridCol w:w="3363"/>
      </w:tblGrid>
      <w:tr>
        <w:trPr>
          <w:cantSplit/>
          <w:tblHeader/>
        </w:trPr>
        <w:tc>
          <w:tcPr>
            <w:tcW w:type="dxa" w:w="19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Teori</w:t>
            </w:r>
          </w:p>
        </w:tc>
        <w:tc>
          <w:tcPr>
            <w:tcW w:type="dxa" w:w="3763"/>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Gagasan Pokok</w:t>
            </w:r>
          </w:p>
        </w:tc>
        <w:tc>
          <w:tcPr>
            <w:tcW w:type="dxa" w:w="3363"/>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Konsekuensi</w:t>
            </w:r>
          </w:p>
        </w:tc>
      </w:tr>
      <w:tr>
        <w:trPr>
          <w:cantSplit/>
        </w:trPr>
        <w:tc>
          <w:tcPr>
            <w:tcW w:type="dxa" w:w="1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Dualisme (Triepel, Anzilotti)</w:t>
            </w:r>
          </w:p>
        </w:tc>
        <w:tc>
          <w:tcPr>
            <w:tcW w:type="dxa" w:w="37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Hukum internasional dan hukum nasional dua sistem yang terpisah: sumber, subjek, dan hubungannya berbeda</w:t>
            </w:r>
          </w:p>
        </w:tc>
        <w:tc>
          <w:tcPr>
            <w:tcW w:type="dxa" w:w="33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Kaidah internasional tidak otomatis berlaku di dalam negeri; harus diubah menjadi hukum nasional (transformasi)</w:t>
            </w:r>
          </w:p>
        </w:tc>
      </w:tr>
      <w:tr>
        <w:trPr>
          <w:cantSplit/>
        </w:trPr>
        <w:tc>
          <w:tcPr>
            <w:tcW w:type="dxa" w:w="1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Monisme dengan primat hukum nasional</w:t>
            </w:r>
          </w:p>
        </w:tc>
        <w:tc>
          <w:tcPr>
            <w:tcW w:type="dxa" w:w="37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Hukum internasional bergantung pada hukum nasional, khususnya konstitusi negara</w:t>
            </w:r>
          </w:p>
        </w:tc>
        <w:tc>
          <w:tcPr>
            <w:tcW w:type="dxa" w:w="33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Hukum internasional dianggap ada karena diizinkan hukum nasional</w:t>
            </w:r>
          </w:p>
        </w:tc>
      </w:tr>
      <w:tr>
        <w:trPr>
          <w:cantSplit/>
        </w:trPr>
        <w:tc>
          <w:tcPr>
            <w:tcW w:type="dxa" w:w="1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Monisme dengan primat hukum internasional (Kelsen)</w:t>
            </w:r>
          </w:p>
        </w:tc>
        <w:tc>
          <w:tcPr>
            <w:tcW w:type="dxa" w:w="37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Semua hukum satu kesatuan; hukum internasional di puncak hierarki</w:t>
            </w:r>
          </w:p>
        </w:tc>
        <w:tc>
          <w:tcPr>
            <w:tcW w:type="dxa" w:w="3363"/>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Hukum nasional yang bertentangan dengan hukum internasional pada dasarnya tidak sah</w:t>
            </w:r>
          </w:p>
        </w:tc>
      </w:tr>
      <w:tr>
        <w:trPr>
          <w:cantSplit/>
        </w:trPr>
        <w:tc>
          <w:tcPr>
            <w:tcW w:type="dxa" w:w="1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Teori koordinasi</w:t>
            </w:r>
          </w:p>
        </w:tc>
        <w:tc>
          <w:tcPr>
            <w:tcW w:type="dxa" w:w="37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Dua sistem berbeda tetapi beroperasi di bidang berbeda, saling melengkapi</w:t>
            </w:r>
          </w:p>
        </w:tc>
        <w:tc>
          <w:tcPr>
            <w:tcW w:type="dxa" w:w="3363"/>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Konflik dipandang sebagai persoalan tanggung jawab negara, bukan batal-tidaknya norma</w:t>
            </w:r>
          </w:p>
        </w:tc>
      </w:tr>
    </w:tbl>
    <w:p>
      <w:pPr>
        <w:spacing w:after="160" w:line="200"/>
      </w:pPr>
    </w:p>
    <w:p>
      <w:pPr>
        <w:pStyle w:val="Heading2"/>
        <w:keepNext/>
        <w:spacing w:after="120" w:before="280"/>
      </w:pPr>
      <w:r>
        <w:t xml:space="preserve">B. Prinsip Universal: Hukum Nasional Bukan Alasan</w:t>
      </w:r>
    </w:p>
    <w:p>
      <w:pPr>
        <w:spacing w:after="140" w:before="0" w:line="300"/>
        <w:jc w:val="both"/>
      </w:pPr>
      <w:r>
        <w:rPr>
          <w:sz w:val="22"/>
          <w:szCs w:val="22"/>
        </w:rPr>
        <w:t xml:space="preserve">Apa pun teori yang dipakai, satu prinsip diterima luas: </w:t>
      </w:r>
      <w:r>
        <w:rPr>
          <w:b/>
          <w:bCs/>
          <w:sz w:val="22"/>
          <w:szCs w:val="22"/>
        </w:rPr>
        <w:t xml:space="preserve">negara tidak boleh menggunakan hukum nasionalnya sebagai pembenaran untuk tidak menjalankan kewajiban internasionalnya</w:t>
      </w:r>
      <w:r>
        <w:rPr>
          <w:sz w:val="22"/>
          <w:szCs w:val="22"/>
        </w:rPr>
        <w:t xml:space="preserve">. Prinsip ini ditegaskan dalam Pasal 27 Konvensi Wina 1969 tentang Hukum Perjanjian (dengan pengecualian terkait prosedur pembuatan perjanjian yang jelas melanggar aturan fundamental hukum nasional; Pasal 46). Pengadilan internasional juga memandang hukum nasional sebagai </w:t>
      </w:r>
      <w:r>
        <w:rPr>
          <w:i/>
          <w:iCs/>
          <w:sz w:val="22"/>
          <w:szCs w:val="22"/>
        </w:rPr>
        <w:t xml:space="preserve">fakta</w:t>
      </w:r>
      <w:r>
        <w:rPr>
          <w:sz w:val="22"/>
          <w:szCs w:val="22"/>
        </w:rPr>
        <w:t xml:space="preserve"> yang dapat dinilai, bukan norma yang mengikat mereka. Dengan demikian, bila undang-undang nasional bertentangan dengan perjanjian, negara tetap bertanggung jawab secara internasional, meskipun pengadilan dalam negeri mungkin tetap menerapkan undang-undang tersebut.</w:t>
      </w:r>
    </w:p>
    <w:p>
      <w:pPr>
        <w:pStyle w:val="Heading2"/>
        <w:keepNext/>
        <w:spacing w:after="120" w:before="280"/>
      </w:pPr>
      <w:r>
        <w:t xml:space="preserve">C. Cara Hukum Internasional Masuk ke Dalam Negeri</w:t>
      </w:r>
    </w:p>
    <w:p>
      <w:pPr>
        <w:spacing w:after="140" w:before="0" w:line="300"/>
        <w:jc w:val="both"/>
      </w:pPr>
      <w:r>
        <w:rPr>
          <w:sz w:val="22"/>
          <w:szCs w:val="22"/>
        </w:rPr>
        <w:t xml:space="preserve">Negara memiliki cara berbeda untuk memasukkan hukum internasional ke sistem hukum nasional:</w:t>
      </w:r>
    </w:p>
    <w:p>
      <w:pPr>
        <w:pStyle w:val="ListParagraph"/>
        <w:numPr>
          <w:ilvl w:val="0"/>
          <w:numId w:val="2"/>
        </w:numPr>
        <w:spacing w:after="80" w:line="290"/>
        <w:jc w:val="left"/>
      </w:pPr>
      <w:r>
        <w:rPr>
          <w:b/>
          <w:bCs/>
          <w:sz w:val="22"/>
          <w:szCs w:val="22"/>
        </w:rPr>
        <w:t xml:space="preserve">Adopsi atau inkorporasi otomatis</w:t>
      </w:r>
      <w:r>
        <w:rPr>
          <w:sz w:val="22"/>
          <w:szCs w:val="22"/>
        </w:rPr>
        <w:t xml:space="preserve">: kaidah internasional, khususnya kebiasaan, dianggap menjadi bagian dari hukum nasional tanpa perlu peraturan pelaksana. Contoh: sistem hukum Inggris untuk hukum kebiasaan internasional; sejumlah negara mengakui perjanjian sebagai </w:t>
      </w:r>
      <w:r>
        <w:rPr>
          <w:i/>
          <w:iCs/>
          <w:sz w:val="22"/>
          <w:szCs w:val="22"/>
        </w:rPr>
        <w:t xml:space="preserve">self-executing</w:t>
      </w:r>
      <w:r>
        <w:rPr>
          <w:sz w:val="22"/>
          <w:szCs w:val="22"/>
        </w:rPr>
        <w:t xml:space="preserve"> dan langsung berlaku.</w:t>
      </w:r>
    </w:p>
    <w:p>
      <w:pPr>
        <w:pStyle w:val="ListParagraph"/>
        <w:numPr>
          <w:ilvl w:val="0"/>
          <w:numId w:val="2"/>
        </w:numPr>
        <w:spacing w:after="80" w:line="290"/>
        <w:jc w:val="left"/>
      </w:pPr>
      <w:r>
        <w:rPr>
          <w:b/>
          <w:bCs/>
          <w:sz w:val="22"/>
          <w:szCs w:val="22"/>
        </w:rPr>
        <w:t xml:space="preserve">Transformasi</w:t>
      </w:r>
      <w:r>
        <w:rPr>
          <w:sz w:val="22"/>
          <w:szCs w:val="22"/>
        </w:rPr>
        <w:t xml:space="preserve">: kaidah internasional baru berlaku setelah diubah menjadi produk hukum nasional, misalnya undang-undang pelaksana.</w:t>
      </w:r>
    </w:p>
    <w:p>
      <w:pPr>
        <w:spacing w:after="80" w:line="200"/>
      </w:pPr>
    </w:p>
    <w:p>
      <w:pPr>
        <w:spacing w:after="140" w:before="0" w:line="300"/>
        <w:jc w:val="both"/>
      </w:pPr>
      <w:r>
        <w:rPr>
          <w:sz w:val="22"/>
          <w:szCs w:val="22"/>
        </w:rPr>
        <w:t xml:space="preserve">Selain itu, pengadilan nasional sering menerapkan </w:t>
      </w:r>
      <w:r>
        <w:rPr>
          <w:b/>
          <w:bCs/>
          <w:sz w:val="22"/>
          <w:szCs w:val="22"/>
        </w:rPr>
        <w:t xml:space="preserve">asas interpretasi harmonis</w:t>
      </w:r>
      <w:r>
        <w:rPr>
          <w:sz w:val="22"/>
          <w:szCs w:val="22"/>
        </w:rPr>
        <w:t xml:space="preserve">: bila memungkinkan, hukum nasional ditafsirkan sejalan dengan kewajiban internasional negara.</w:t>
      </w:r>
    </w:p>
    <w:p>
      <w:pPr>
        <w:pStyle w:val="Heading2"/>
        <w:keepNext/>
        <w:spacing w:after="120" w:before="280"/>
      </w:pPr>
      <w:r>
        <w:t xml:space="preserve">D. Praktik Indonesia</w:t>
      </w:r>
    </w:p>
    <w:p>
      <w:pPr>
        <w:spacing w:after="140" w:before="0" w:line="300"/>
        <w:jc w:val="both"/>
      </w:pPr>
      <w:r>
        <w:rPr>
          <w:sz w:val="22"/>
          <w:szCs w:val="22"/>
        </w:rPr>
        <w:t xml:space="preserve">Konstitusi kita tidak secara tegas menyatakan menganut monisme atau dualisme. Pasal 11 UUD 1945 memberi Presiden kewenangan, dengan persetujuan DPR, menyatakan perang, membuat perdamaian dan perjanjian dengan negara lain, serta membuat perjanjian internasional yang menimbulkan akibat luas dan mendasar bagi kehidupan rakyat yang terkait dengan beban keuangan negara dan/atau mengharuskan perubahan atau pembentukan undang-undang dengan persetujuan DPR. Aturan pelaksananya ada dalam </w:t>
      </w:r>
      <w:r>
        <w:rPr>
          <w:b/>
          <w:bCs/>
          <w:sz w:val="22"/>
          <w:szCs w:val="22"/>
        </w:rPr>
        <w:t xml:space="preserve">UU No. 24 Tahun 2000 tentang Perjanjian Internasional</w:t>
      </w:r>
      <w:r>
        <w:rPr>
          <w:sz w:val="22"/>
          <w:szCs w:val="22"/>
        </w:rPr>
        <w:t xml:space="preserve"> dan </w:t>
      </w:r>
      <w:r>
        <w:rPr>
          <w:b/>
          <w:bCs/>
          <w:sz w:val="22"/>
          <w:szCs w:val="22"/>
        </w:rPr>
        <w:t xml:space="preserve">UU No. 37 Tahun 1999 tentang Hubungan Luar Negeri</w:t>
      </w:r>
      <w:r>
        <w:rPr>
          <w:sz w:val="22"/>
          <w:szCs w:val="22"/>
        </w:rPr>
        <w:t xml:space="preserve">.</w:t>
      </w:r>
    </w:p>
    <w:p>
      <w:pPr>
        <w:spacing w:after="140" w:before="0" w:line="300"/>
        <w:jc w:val="both"/>
      </w:pPr>
      <w:r>
        <w:rPr>
          <w:sz w:val="22"/>
          <w:szCs w:val="22"/>
        </w:rPr>
        <w:t xml:space="preserve">Menurut UU No. 24 Tahun 2000, pengesahan perjanjian dilakukan dengan undang-undang bila menyangkut:</w:t>
      </w:r>
    </w:p>
    <w:p>
      <w:pPr>
        <w:pStyle w:val="ListParagraph"/>
        <w:numPr>
          <w:ilvl w:val="0"/>
          <w:numId w:val="2"/>
        </w:numPr>
        <w:spacing w:after="80" w:line="290"/>
        <w:jc w:val="left"/>
      </w:pPr>
      <w:r>
        <w:rPr>
          <w:sz w:val="22"/>
          <w:szCs w:val="22"/>
        </w:rPr>
        <w:t xml:space="preserve">masalah politik, perdamaian, pertahanan, dan keamanan negara;</w:t>
      </w:r>
    </w:p>
    <w:p>
      <w:pPr>
        <w:pStyle w:val="ListParagraph"/>
        <w:numPr>
          <w:ilvl w:val="0"/>
          <w:numId w:val="2"/>
        </w:numPr>
        <w:spacing w:after="80" w:line="290"/>
        <w:jc w:val="left"/>
      </w:pPr>
      <w:r>
        <w:rPr>
          <w:sz w:val="22"/>
          <w:szCs w:val="22"/>
        </w:rPr>
        <w:t xml:space="preserve">perubahan wilayah atau penetapan batas wilayah Republik Indonesia;</w:t>
      </w:r>
    </w:p>
    <w:p>
      <w:pPr>
        <w:pStyle w:val="ListParagraph"/>
        <w:numPr>
          <w:ilvl w:val="0"/>
          <w:numId w:val="2"/>
        </w:numPr>
        <w:spacing w:after="80" w:line="290"/>
        <w:jc w:val="left"/>
      </w:pPr>
      <w:r>
        <w:rPr>
          <w:sz w:val="22"/>
          <w:szCs w:val="22"/>
        </w:rPr>
        <w:t xml:space="preserve">kedaulatan atau hak berdaulat negara;</w:t>
      </w:r>
    </w:p>
    <w:p>
      <w:pPr>
        <w:pStyle w:val="ListParagraph"/>
        <w:numPr>
          <w:ilvl w:val="0"/>
          <w:numId w:val="2"/>
        </w:numPr>
        <w:spacing w:after="80" w:line="290"/>
        <w:jc w:val="left"/>
      </w:pPr>
      <w:r>
        <w:rPr>
          <w:sz w:val="22"/>
          <w:szCs w:val="22"/>
        </w:rPr>
        <w:t xml:space="preserve">hak asasi manusia dan lingkungan hidup;</w:t>
      </w:r>
    </w:p>
    <w:p>
      <w:pPr>
        <w:pStyle w:val="ListParagraph"/>
        <w:numPr>
          <w:ilvl w:val="0"/>
          <w:numId w:val="2"/>
        </w:numPr>
        <w:spacing w:after="80" w:line="290"/>
        <w:jc w:val="left"/>
      </w:pPr>
      <w:r>
        <w:rPr>
          <w:sz w:val="22"/>
          <w:szCs w:val="22"/>
        </w:rPr>
        <w:t xml:space="preserve">pembentukan kaidah hukum baru;</w:t>
      </w:r>
    </w:p>
    <w:p>
      <w:pPr>
        <w:pStyle w:val="ListParagraph"/>
        <w:numPr>
          <w:ilvl w:val="0"/>
          <w:numId w:val="2"/>
        </w:numPr>
        <w:spacing w:after="80" w:line="290"/>
        <w:jc w:val="left"/>
      </w:pPr>
      <w:r>
        <w:rPr>
          <w:sz w:val="22"/>
          <w:szCs w:val="22"/>
        </w:rPr>
        <w:t xml:space="preserve">pinjaman dan/atau hibah luar negeri.</w:t>
      </w:r>
    </w:p>
    <w:p>
      <w:pPr>
        <w:spacing w:after="80" w:line="200"/>
      </w:pPr>
    </w:p>
    <w:p>
      <w:pPr>
        <w:spacing w:after="140" w:before="0" w:line="300"/>
        <w:jc w:val="both"/>
      </w:pPr>
      <w:r>
        <w:rPr>
          <w:sz w:val="22"/>
          <w:szCs w:val="22"/>
        </w:rPr>
        <w:t xml:space="preserve">Pengesahan perjanjian yang tidak masuk kategori tersebut dilakukan dengan keputusan presiden (kini dikenal sebagai peraturan presiden dalam hierarki peraturan perundang-undangan). Contoh pengesahan dengan undang-undang: UNCLOS 1982 (UU No. 17 Tahun 1985), Kovenan Internasional Hak Sipil dan Politik (UU No. 12 Tahun 2005), Kovenan Hak Ekonomi, Sosial, dan Budaya (UU No. 11 Tahun 2005), Piagam ASEAN (UU No. 38 Tahun 2008), dan Persetujuan Paris (UU No. 16 Tahun 2016).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3C8D5A" w:sz="28"/>
              <w:bottom w:val="none" w:color="FFFFFF" w:sz="0"/>
              <w:right w:val="none" w:color="FFFFFF" w:sz="0"/>
            </w:tcBorders>
            <w:shd w:fill="EAF4EC" w:color="auto" w:val="clear"/>
            <w:tcMar>
              <w:top w:type="dxa" w:w="140"/>
              <w:left w:type="dxa" w:w="240"/>
              <w:bottom w:type="dxa" w:w="100"/>
              <w:right w:type="dxa" w:w="220"/>
            </w:tcMar>
          </w:tcPr>
          <w:p>
            <w:pPr>
              <w:keepNext/>
              <w:spacing w:after="80" w:line="260"/>
            </w:pPr>
            <w:r>
              <w:rPr>
                <w:rFonts w:ascii="Calibri" w:cs="Calibri" w:eastAsia="Calibri" w:hAnsi="Calibri"/>
                <w:b/>
                <w:bCs/>
                <w:color w:val="3C8D5A"/>
                <w:sz w:val="22"/>
                <w:szCs w:val="22"/>
              </w:rPr>
              <w:t xml:space="preserve">Bagaimana Kedudukan Perjanjian yang Sudah Disahkan?</w:t>
            </w:r>
          </w:p>
          <w:p>
            <w:pPr>
              <w:spacing w:after="80" w:before="0" w:line="290"/>
              <w:jc w:val="left"/>
            </w:pPr>
            <w:r>
              <w:rPr>
                <w:sz w:val="21"/>
                <w:szCs w:val="21"/>
              </w:rPr>
              <w:t xml:space="preserve">Undang-undang pengesahan pada dasarnya hanya menyatakan bahwa Indonesia terikat pada perjanjian. Untuk penerapan secara rinci sering dibutuhkan undang-undang pelaksana atau peraturan turunan. Ilmuwan hukum Indonesia masih memperdebatkan status normatif perjanjian internasional dalam hierarki peraturan perundang-undangan, dan pendekatan pengadilan cenderung kasuistik. Inilah salah satu topik menarik untuk skripsi.</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Tahukah Kamu?</w:t>
            </w:r>
          </w:p>
          <w:p>
            <w:pPr>
              <w:spacing w:after="80" w:before="0" w:line="290"/>
              <w:jc w:val="left"/>
            </w:pPr>
            <w:r>
              <w:rPr>
                <w:sz w:val="21"/>
                <w:szCs w:val="21"/>
              </w:rPr>
              <w:t xml:space="preserve">Indonesia telah meratifikasi Empat Konvensi Jenewa 1949 sejak 1958 melalui UU No. 59 Tahun 1958. Namun sampai hari ini Indonesia belum meratifikasi Statuta Roma tentang Mahkamah Pidana Internasional. Perbedaan sikap terhadap dua instrumen itu memperlihatkan bahwa keputusan meratifikasi selalu melibatkan pertimbangan politik dan hukum yang kompleks.</w:t>
            </w:r>
          </w:p>
        </w:tc>
      </w:tr>
    </w:tbl>
    <w:p>
      <w:pPr>
        <w:spacing w:after="160" w:line="200"/>
      </w:pPr>
    </w:p>
    <w:p>
      <w:pPr>
        <w:pStyle w:val="Heading2"/>
        <w:keepNext/>
        <w:spacing w:after="120" w:before="280"/>
      </w:pPr>
      <w:r>
        <w:t xml:space="preserve">E. Dimensi Praktis: Pengadilan Nasional dan Hukum Internasional</w:t>
      </w:r>
    </w:p>
    <w:p>
      <w:pPr>
        <w:spacing w:after="140" w:before="0" w:line="300"/>
        <w:jc w:val="both"/>
      </w:pPr>
      <w:r>
        <w:rPr>
          <w:sz w:val="22"/>
          <w:szCs w:val="22"/>
        </w:rPr>
        <w:t xml:space="preserve">Di banyak negara, pengadilan nasional turut berperan sebagai "penegak" hukum internasional, misalnya dengan mengadili kejahatan internasional atau menerapkan kebiasaan internasional. Di Belanda, konstitusi memberi perjanjian yang berlaku kedudukan di atas undang-undang. Di Amerika Serikat, perjanjian dan undang-undang federal sama-sama diakui sebagai hukum tertinggi, dengan asas bahwa yang terbaru menang bila terjadi konflik. Perbandingan ini menunjukkan bahwa tidak ada satu model yang berlaku bagi semua negara.</w:t>
      </w: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Dualisme memisahkan hukum internasional dan nasional; monisme menyatukannya, dengan primat pada salah satu; teori koordinasi menempatkannya di bidang berbeda.</w:t>
            </w:r>
          </w:p>
          <w:p>
            <w:pPr>
              <w:pStyle w:val="ListParagraph"/>
              <w:numPr>
                <w:ilvl w:val="0"/>
                <w:numId w:val="2"/>
              </w:numPr>
              <w:spacing w:after="80" w:line="290"/>
              <w:jc w:val="left"/>
            </w:pPr>
            <w:r>
              <w:rPr>
                <w:sz w:val="21"/>
                <w:szCs w:val="21"/>
              </w:rPr>
              <w:t xml:space="preserve">Prinsip universal: hukum nasional tidak boleh dijadikan alasan menghindari kewajiban internasional (Pasal 27 Konvensi Wina 1969).</w:t>
            </w:r>
          </w:p>
          <w:p>
            <w:pPr>
              <w:pStyle w:val="ListParagraph"/>
              <w:numPr>
                <w:ilvl w:val="0"/>
                <w:numId w:val="2"/>
              </w:numPr>
              <w:spacing w:after="80" w:line="290"/>
              <w:jc w:val="left"/>
            </w:pPr>
            <w:r>
              <w:rPr>
                <w:sz w:val="21"/>
                <w:szCs w:val="21"/>
              </w:rPr>
              <w:t xml:space="preserve">Indonesia mengatur pengesahan perjanjian lewat Pasal 11 UUD 1945 dan UU No. 24 Tahun 2000.</w:t>
            </w:r>
          </w:p>
          <w:p>
            <w:pPr>
              <w:pStyle w:val="ListParagraph"/>
              <w:numPr>
                <w:ilvl w:val="0"/>
                <w:numId w:val="2"/>
              </w:numPr>
              <w:spacing w:after="80" w:line="290"/>
              <w:jc w:val="left"/>
            </w:pPr>
            <w:r>
              <w:rPr>
                <w:sz w:val="21"/>
                <w:szCs w:val="21"/>
              </w:rPr>
              <w:t xml:space="preserve">Pengesahan dengan undang-undang berlaku untuk kategori penting seperti kedaulatan, HAM, lingkungan, dan pembentukan kaidah hukum baru.</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monisme  •  dualisme  •  transformasi  •  inkorporasi  •  self-executing  •  ratifikasi  •  UU 24/2000</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10"/>
              </w:numPr>
              <w:spacing w:after="80" w:line="290"/>
              <w:jc w:val="left"/>
            </w:pPr>
            <w:r>
              <w:rPr>
                <w:sz w:val="21"/>
                <w:szCs w:val="21"/>
              </w:rPr>
              <w:t xml:space="preserve">Apakah sistem hukum Indonesia lebih dekat pada monisme atau dualisme? Berikan bukti dari peraturan atau putusan pengadilan.</w:t>
            </w:r>
          </w:p>
          <w:p>
            <w:pPr>
              <w:pStyle w:val="ListParagraph"/>
              <w:numPr>
                <w:ilvl w:val="0"/>
                <w:numId w:val="10"/>
              </w:numPr>
              <w:spacing w:after="80" w:line="290"/>
              <w:jc w:val="left"/>
            </w:pPr>
            <w:r>
              <w:rPr>
                <w:sz w:val="21"/>
                <w:szCs w:val="21"/>
              </w:rPr>
              <w:t xml:space="preserve">Mengapa Indonesia mengesahkan Persetujuan Paris dengan undang-undang dan bukan peraturan presiden?</w:t>
            </w:r>
          </w:p>
          <w:p>
            <w:pPr>
              <w:pStyle w:val="ListParagraph"/>
              <w:numPr>
                <w:ilvl w:val="0"/>
                <w:numId w:val="10"/>
              </w:numPr>
              <w:spacing w:after="80" w:line="290"/>
              <w:jc w:val="left"/>
            </w:pPr>
            <w:r>
              <w:rPr>
                <w:sz w:val="21"/>
                <w:szCs w:val="21"/>
              </w:rPr>
              <w:t xml:space="preserve">Jika suatu undang-undang bertentangan dengan perjanjian internasional yang telah diratifikasi, apa akibatnya bagi Indonesia di mata hukum internasional?</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Studi Kasus Ratifikasi (30 menit).</w:t>
            </w:r>
            <w:r>
              <w:rPr>
                <w:sz w:val="21"/>
                <w:szCs w:val="21"/>
              </w:rPr>
              <w:t xml:space="preserve"> Setiap kelompok mendapat satu perjanjian internasional yang telah diratifikasi Indonesia (misalnya UNCLOS, ICCPR, Persetujuan Paris). Tugasnya: mencari dasar hukum pengesahan, jenis instrumennya, dan satu contoh undang-undang pelaksana yang lahir setelahnya, lalu mempresentasikannya singkat.</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"Buatkan diagram alur (dalam bentuk daftar bernomor) tentang proses pembuatan dan pengesahan perjanjian internasional oleh Indonesia menurut UU No. 24 Tahun 2000. Setelah itu, beri aku tiga contoh perjanjian dan minta aku menentukan apakah pengesahannya dengan undang-undang atau peraturan presiden, beserta alasannya."</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Boer Mauna, </w:t>
      </w:r>
      <w:r>
        <w:rPr>
          <w:i/>
          <w:iCs/>
          <w:color w:val="595959"/>
          <w:sz w:val="20"/>
          <w:szCs w:val="20"/>
        </w:rPr>
        <w:t xml:space="preserve">Hukum Internasional</w:t>
      </w:r>
      <w:r>
        <w:rPr>
          <w:color w:val="595959"/>
          <w:sz w:val="20"/>
          <w:szCs w:val="20"/>
        </w:rPr>
        <w:t xml:space="preserve">; Mochtar Kusumaatmadja, </w:t>
      </w:r>
      <w:r>
        <w:rPr>
          <w:i/>
          <w:iCs/>
          <w:color w:val="595959"/>
          <w:sz w:val="20"/>
          <w:szCs w:val="20"/>
        </w:rPr>
        <w:t xml:space="preserve">Pengantar Hukum Internasional</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teks UU No. 24 Tahun 2000 dan UU No. 37 Tahun 1999.</w:t>
      </w:r>
    </w:p>
    <w:p>
      <w:pPr>
        <w:keepNext/>
        <w:pageBreakBefore/>
        <w:spacing w:after="60"/>
      </w:pPr>
      <w:r>
        <w:rPr>
          <w:rFonts w:ascii="Calibri" w:cs="Calibri" w:eastAsia="Calibri" w:hAnsi="Calibri"/>
          <w:b/>
          <w:bCs/>
          <w:color w:val="B8892B"/>
          <w:spacing w:val="60"/>
          <w:sz w:val="22"/>
          <w:szCs w:val="22"/>
        </w:rPr>
        <w:t xml:space="preserve">BAB 7   |   PERTEMUAN 7</w:t>
      </w:r>
    </w:p>
    <w:p>
      <w:pPr>
        <w:pStyle w:val="Heading1"/>
        <w:keepNext/>
        <w:pBdr>
          <w:bottom w:val="single" w:color="B8892B" w:sz="12" w:space="6"/>
        </w:pBdr>
        <w:spacing w:after="100"/>
      </w:pPr>
      <w:r>
        <w:t xml:space="preserve">Janji Antarnegara: Seni Membuat dan Menepati Perjanjian</w:t>
      </w:r>
    </w:p>
    <w:p>
      <w:pPr>
        <w:spacing w:after="200"/>
      </w:pPr>
      <w:r>
        <w:rPr>
          <w:rFonts w:ascii="Cambria" w:cs="Cambria" w:eastAsia="Cambria" w:hAnsi="Cambria"/>
          <w:i/>
          <w:iCs/>
          <w:color w:val="595959"/>
          <w:sz w:val="26"/>
          <w:szCs w:val="26"/>
        </w:rPr>
        <w:t xml:space="preserve">Perjanjian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Sebuah Tanda Tangan, Sejuta Konsekuensi</w:t>
            </w:r>
          </w:p>
          <w:p>
            <w:pPr>
              <w:spacing w:after="80" w:before="0" w:line="290"/>
              <w:jc w:val="left"/>
            </w:pPr>
            <w:r>
              <w:rPr>
                <w:sz w:val="21"/>
                <w:szCs w:val="21"/>
              </w:rPr>
              <w:t xml:space="preserve">Bayangkan Presiden menandatangani sebuah dokumen di ruang konferensi berlampu megah. Apakah Indonesia sudah terikat? Belum tentu. Bagaimana kalau dokumen itu ternyata ditandatangani dengan tekanan? Bisakah negara menarik diri kapan pun? Bolehkah negara menerima sebagian pasal dan menolak sisanya? Perjanjian internasional adalah alat terpenting negara dalam mengatur hubungannya, dan jawaban atas pertanyaan-pertanyaan di atas dirangkum dalam Konvensi Wina 1969.</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pengertian, jenis, dan tahapan pembuatan perjanjian internasional;</w:t>
            </w:r>
          </w:p>
          <w:p>
            <w:pPr>
              <w:pStyle w:val="ListParagraph"/>
              <w:numPr>
                <w:ilvl w:val="0"/>
                <w:numId w:val="2"/>
              </w:numPr>
              <w:spacing w:after="80" w:line="290"/>
              <w:jc w:val="left"/>
            </w:pPr>
            <w:r>
              <w:rPr>
                <w:sz w:val="21"/>
                <w:szCs w:val="21"/>
              </w:rPr>
              <w:t xml:space="preserve">menjelaskan reservasi, penafsiran, dan berlakunya perjanjian menurut Konvensi Wina 1969;</w:t>
            </w:r>
          </w:p>
          <w:p>
            <w:pPr>
              <w:pStyle w:val="ListParagraph"/>
              <w:numPr>
                <w:ilvl w:val="0"/>
                <w:numId w:val="2"/>
              </w:numPr>
              <w:spacing w:after="80" w:line="290"/>
              <w:jc w:val="left"/>
            </w:pPr>
            <w:r>
              <w:rPr>
                <w:sz w:val="21"/>
                <w:szCs w:val="21"/>
              </w:rPr>
              <w:t xml:space="preserve">menjelaskan sebab-sebab batalnya, berakhirnya, dan ditangguhkannya perjanjian;</w:t>
            </w:r>
          </w:p>
          <w:p>
            <w:pPr>
              <w:pStyle w:val="ListParagraph"/>
              <w:numPr>
                <w:ilvl w:val="0"/>
                <w:numId w:val="2"/>
              </w:numPr>
              <w:spacing w:after="80" w:line="290"/>
              <w:jc w:val="left"/>
            </w:pPr>
            <w:r>
              <w:rPr>
                <w:sz w:val="21"/>
                <w:szCs w:val="21"/>
              </w:rPr>
              <w:t xml:space="preserve">menerapkan konsep tersebut pada contoh perjanjian nyata.</w:t>
            </w:r>
          </w:p>
        </w:tc>
      </w:tr>
    </w:tbl>
    <w:p>
      <w:pPr>
        <w:spacing w:after="160" w:line="200"/>
      </w:pPr>
    </w:p>
    <w:p>
      <w:pPr>
        <w:pStyle w:val="Heading2"/>
        <w:keepNext/>
        <w:spacing w:after="120" w:before="280"/>
      </w:pPr>
      <w:r>
        <w:t xml:space="preserve">A. Apa Itu Perjanjian Internasional?</w:t>
      </w:r>
    </w:p>
    <w:p>
      <w:pPr>
        <w:spacing w:after="140" w:before="0" w:line="300"/>
        <w:jc w:val="both"/>
      </w:pPr>
      <w:r>
        <w:rPr>
          <w:sz w:val="22"/>
          <w:szCs w:val="22"/>
        </w:rPr>
        <w:t xml:space="preserve">Menurut Pasal 2 ayat (1) huruf a Konvensi Wina 1969 tentang Hukum Perjanjian (VCLT), perjanjian internasional adalah persetujuan internasional yang dibuat antarnegara dalam bentuk tertulis dan diatur oleh hukum internasional, baik dalam satu instrumen maupun lebih, apa pun namanya. Tiga unsur penting: </w:t>
      </w:r>
      <w:r>
        <w:rPr>
          <w:b/>
          <w:bCs/>
          <w:sz w:val="22"/>
          <w:szCs w:val="22"/>
        </w:rPr>
        <w:t xml:space="preserve">antarnegara</w:t>
      </w:r>
      <w:r>
        <w:rPr>
          <w:sz w:val="22"/>
          <w:szCs w:val="22"/>
        </w:rPr>
        <w:t xml:space="preserve">, </w:t>
      </w:r>
      <w:r>
        <w:rPr>
          <w:b/>
          <w:bCs/>
          <w:sz w:val="22"/>
          <w:szCs w:val="22"/>
        </w:rPr>
        <w:t xml:space="preserve">tertulis</w:t>
      </w:r>
      <w:r>
        <w:rPr>
          <w:sz w:val="22"/>
          <w:szCs w:val="22"/>
        </w:rPr>
        <w:t xml:space="preserve">, dan </w:t>
      </w:r>
      <w:r>
        <w:rPr>
          <w:b/>
          <w:bCs/>
          <w:sz w:val="22"/>
          <w:szCs w:val="22"/>
        </w:rPr>
        <w:t xml:space="preserve">diatur hukum internasional</w:t>
      </w:r>
      <w:r>
        <w:rPr>
          <w:sz w:val="22"/>
          <w:szCs w:val="22"/>
        </w:rPr>
        <w:t xml:space="preserve">. Nama tidak menentukan sifat hukumnya: konvensi, piagam, protokol, deklarasi, pertukaran nota, atau </w:t>
      </w:r>
      <w:r>
        <w:rPr>
          <w:i/>
          <w:iCs/>
          <w:sz w:val="22"/>
          <w:szCs w:val="22"/>
        </w:rPr>
        <w:t xml:space="preserve">memorandum of understanding</w:t>
      </w:r>
      <w:r>
        <w:rPr>
          <w:sz w:val="22"/>
          <w:szCs w:val="22"/>
        </w:rPr>
        <w:t xml:space="preserve"> dapat bersifat mengikat apabila memenuhi unsur di atas dan menunjukkan maksud mengikat secara hukum. VCLT berlaku sejak 27 Januari 1980. Untuk perjanjian yang melibatkan organisasi internasional, ada Konvensi Wina 1986.</w:t>
      </w:r>
    </w:p>
    <w:p>
      <w:pPr>
        <w:spacing w:after="140" w:before="0" w:line="300"/>
        <w:jc w:val="both"/>
      </w:pPr>
      <w:r>
        <w:rPr>
          <w:sz w:val="22"/>
          <w:szCs w:val="22"/>
        </w:rPr>
        <w:t xml:space="preserve">Perjanjian dapat dibedakan menurut jumlah pihak (bilateral, multilateral), sifat (pembentuk hukum atau kontraktual), dan keterbukaan (terbuka atau tertutup bagi pihak ketiga).</w:t>
      </w:r>
    </w:p>
    <w:p>
      <w:pPr>
        <w:pStyle w:val="Heading2"/>
        <w:keepNext/>
        <w:spacing w:after="120" w:before="280"/>
      </w:pPr>
      <w:r>
        <w:t xml:space="preserve">B. Tahapan Membuat Perjanjian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700"/>
        <w:gridCol w:w="3326"/>
      </w:tblGrid>
      <w:tr>
        <w:trPr>
          <w:cantSplit/>
          <w:tblHeader/>
        </w:trPr>
        <w:tc>
          <w:tcPr>
            <w:tcW w:type="dxa" w:w="20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Tahap</w:t>
            </w:r>
          </w:p>
        </w:tc>
        <w:tc>
          <w:tcPr>
            <w:tcW w:type="dxa" w:w="37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Isi</w:t>
            </w:r>
          </w:p>
        </w:tc>
        <w:tc>
          <w:tcPr>
            <w:tcW w:type="dxa" w:w="33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Catatan</w:t>
            </w:r>
          </w:p>
        </w:tc>
      </w:tr>
      <w:tr>
        <w:trPr>
          <w:cantSplit/>
        </w:trPr>
        <w:tc>
          <w:tcPr>
            <w:tcW w:type="dxa" w:w="2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 Perundingan (negotiation)</w:t>
            </w:r>
          </w:p>
        </w:tc>
        <w:tc>
          <w:tcPr>
            <w:tcW w:type="dxa" w:w="3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Wakil negara merundingkan isi naskah</w:t>
            </w:r>
          </w:p>
        </w:tc>
        <w:tc>
          <w:tcPr>
            <w:tcW w:type="dxa" w:w="3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Pejabat perunding harus memiliki surat kuasa penuh (full powers), kecuali pejabat tertentu seperti kepala negara dan menteri luar negeri</w:t>
            </w:r>
          </w:p>
        </w:tc>
      </w:tr>
      <w:tr>
        <w:trPr>
          <w:cantSplit/>
        </w:trPr>
        <w:tc>
          <w:tcPr>
            <w:tcW w:type="dxa" w:w="2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2. Adopsi naskah</w:t>
            </w:r>
          </w:p>
        </w:tc>
        <w:tc>
          <w:tcPr>
            <w:tcW w:type="dxa" w:w="3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Naskah disepakati</w:t>
            </w:r>
          </w:p>
        </w:tc>
        <w:tc>
          <w:tcPr>
            <w:tcW w:type="dxa" w:w="3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Dapat dengan suara bulat atau mayoritas dua pertiga pada konferensi internasional</w:t>
            </w:r>
          </w:p>
        </w:tc>
      </w:tr>
      <w:tr>
        <w:trPr>
          <w:cantSplit/>
        </w:trPr>
        <w:tc>
          <w:tcPr>
            <w:tcW w:type="dxa" w:w="2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3. Penandatanganan (signature)</w:t>
            </w:r>
          </w:p>
        </w:tc>
        <w:tc>
          <w:tcPr>
            <w:tcW w:type="dxa" w:w="3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Naskah ditandatangani</w:t>
            </w:r>
          </w:p>
        </w:tc>
        <w:tc>
          <w:tcPr>
            <w:tcW w:type="dxa" w:w="3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Bisa menandakan persetujuan terikat, atau hanya menandakan otentikasi yang masih perlu ratifikasi</w:t>
            </w:r>
          </w:p>
        </w:tc>
      </w:tr>
      <w:tr>
        <w:trPr>
          <w:cantSplit/>
        </w:trPr>
        <w:tc>
          <w:tcPr>
            <w:tcW w:type="dxa" w:w="2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4. Pengesahan (ratifikasi, aksesi, aksepsi, approval)</w:t>
            </w:r>
          </w:p>
        </w:tc>
        <w:tc>
          <w:tcPr>
            <w:tcW w:type="dxa" w:w="3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Persetujuan terikat dinyatakan secara resmi</w:t>
            </w:r>
          </w:p>
        </w:tc>
        <w:tc>
          <w:tcPr>
            <w:tcW w:type="dxa" w:w="3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Di Indonesia mengikuti UU No. 24 Tahun 2000</w:t>
            </w:r>
          </w:p>
        </w:tc>
      </w:tr>
      <w:tr>
        <w:trPr>
          <w:cantSplit/>
        </w:trPr>
        <w:tc>
          <w:tcPr>
            <w:tcW w:type="dxa" w:w="2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5. Berlaku (entry into force)</w:t>
            </w:r>
          </w:p>
        </w:tc>
        <w:tc>
          <w:tcPr>
            <w:tcW w:type="dxa" w:w="3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Sesuai ketentuan perjanjian</w:t>
            </w:r>
          </w:p>
        </w:tc>
        <w:tc>
          <w:tcPr>
            <w:tcW w:type="dxa" w:w="3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Umumnya setelah sejumlah pengesahan tertentu terkumpul</w:t>
            </w:r>
          </w:p>
        </w:tc>
      </w:tr>
    </w:tbl>
    <w:p>
      <w:pPr>
        <w:spacing w:after="160" w:line="200"/>
      </w:pPr>
    </w:p>
    <w:p>
      <w:pPr>
        <w:spacing w:after="140" w:before="0" w:line="300"/>
        <w:jc w:val="both"/>
      </w:pPr>
      <w:r>
        <w:rPr>
          <w:sz w:val="22"/>
          <w:szCs w:val="22"/>
        </w:rPr>
        <w:t xml:space="preserve">Penandatanganan bukan berarti terikat. Namun, negara penandatangan yang belum meratifikasi wajib menahan diri dari tindakan yang akan menggagalkan tujuan dan maksud perjanjian (Pasal 18 VCLT). Kewajiban ini menegaskan pentingnya itikad baik.</w:t>
      </w:r>
    </w:p>
    <w:p>
      <w:pPr>
        <w:pStyle w:val="Heading2"/>
        <w:keepNext/>
        <w:spacing w:after="120" w:before="280"/>
      </w:pPr>
      <w:r>
        <w:t xml:space="preserve">C. Reservasi: Menerima Sebagian</w:t>
      </w:r>
    </w:p>
    <w:p>
      <w:pPr>
        <w:spacing w:after="140" w:before="0" w:line="300"/>
        <w:jc w:val="both"/>
      </w:pPr>
      <w:r>
        <w:rPr>
          <w:sz w:val="22"/>
          <w:szCs w:val="22"/>
        </w:rPr>
        <w:t xml:space="preserve">Reservasi adalah pernyataan sepihak yang bermaksud mengecualikan atau mengubah akibat hukum ketentuan tertentu dalam penerapannya terhadap negara yang bersangkutan (Pasal 2(1)(d) VCLT). Reservasi lazim pada perjanjian multilateral, tetapi tidak diperkenankan bila dilarang perjanjian, bila perjanjian hanya mengizinkan reservasi tertentu yang tidak mencakup reservasi tersebut, atau bila reservasi bertentangan dengan objek dan tujuan perjanjian (Pasal 19). Dalam </w:t>
      </w:r>
      <w:r>
        <w:rPr>
          <w:i/>
          <w:iCs/>
          <w:sz w:val="22"/>
          <w:szCs w:val="22"/>
        </w:rPr>
        <w:t xml:space="preserve">Reservations to the Genocide Convention</w:t>
      </w:r>
      <w:r>
        <w:rPr>
          <w:sz w:val="22"/>
          <w:szCs w:val="22"/>
        </w:rPr>
        <w:t xml:space="preserve"> (1951), ICJ menekankan pentingnya kompatibilitas dengan objek dan tujuan. Perjanjian juga dapat menyediakan klausul pernyataan (</w:t>
      </w:r>
      <w:r>
        <w:rPr>
          <w:i/>
          <w:iCs/>
          <w:sz w:val="22"/>
          <w:szCs w:val="22"/>
        </w:rPr>
        <w:t xml:space="preserve">declaration</w:t>
      </w:r>
      <w:r>
        <w:rPr>
          <w:sz w:val="22"/>
          <w:szCs w:val="22"/>
        </w:rPr>
        <w:t xml:space="preserve">) yang tidak dimaksudkan mengubah akibat hukum.</w:t>
      </w:r>
    </w:p>
    <w:p>
      <w:pPr>
        <w:pStyle w:val="Heading2"/>
        <w:keepNext/>
        <w:spacing w:after="120" w:before="280"/>
      </w:pPr>
      <w:r>
        <w:t xml:space="preserve">D. Menepati Janji: Pacta Sunt Servanda</w:t>
      </w:r>
    </w:p>
    <w:p>
      <w:pPr>
        <w:spacing w:after="140" w:before="0" w:line="300"/>
        <w:jc w:val="both"/>
      </w:pPr>
      <w:r>
        <w:rPr>
          <w:sz w:val="22"/>
          <w:szCs w:val="22"/>
        </w:rPr>
        <w:t xml:space="preserve">Pasal 26 VCLT menegaskan asas </w:t>
      </w:r>
      <w:r>
        <w:rPr>
          <w:i/>
          <w:iCs/>
          <w:sz w:val="22"/>
          <w:szCs w:val="22"/>
        </w:rPr>
        <w:t xml:space="preserve">pacta sunt servanda</w:t>
      </w:r>
      <w:r>
        <w:rPr>
          <w:sz w:val="22"/>
          <w:szCs w:val="22"/>
        </w:rPr>
        <w:t xml:space="preserve">: setiap perjanjian yang berlaku mengikat para pihak dan harus dilaksanakan dengan itikad baik. Ini fondasi seluruh hukum perjanjian. Pasal 27 menegaskan bahwa hukum nasional tidak dapat dijadikan alasan tidak melaksanakan perjanjian. Selain itu, perjanjian pada dasarnya tidak menciptakan kewajiban atau hak bagi pihak ketiga tanpa persetujuannya (Pasal 34).</w:t>
      </w:r>
    </w:p>
    <w:p>
      <w:pPr>
        <w:pStyle w:val="Heading2"/>
        <w:keepNext/>
        <w:spacing w:after="120" w:before="280"/>
      </w:pPr>
      <w:r>
        <w:t xml:space="preserve">E. Menafsirkan Perjanjian</w:t>
      </w:r>
    </w:p>
    <w:p>
      <w:pPr>
        <w:spacing w:after="140" w:before="0" w:line="300"/>
        <w:jc w:val="both"/>
      </w:pPr>
      <w:r>
        <w:rPr>
          <w:sz w:val="22"/>
          <w:szCs w:val="22"/>
        </w:rPr>
        <w:t xml:space="preserve">Pasal 31 VCLT menetapkan aturan umum: perjanjian ditafsirkan dengan itikad baik sesuai makna biasa dari istilah-istilah dalam perjanjian, dalam konteksnya, dan dengan memperhatikan objek serta tujuannya. Pasal 32 memperbolehkan penggunaan sarana tambahan, termasuk persiapan perjanjian (</w:t>
      </w:r>
      <w:r>
        <w:rPr>
          <w:i/>
          <w:iCs/>
          <w:sz w:val="22"/>
          <w:szCs w:val="22"/>
        </w:rPr>
        <w:t xml:space="preserve">travaux préparatoires</w:t>
      </w:r>
      <w:r>
        <w:rPr>
          <w:sz w:val="22"/>
          <w:szCs w:val="22"/>
        </w:rPr>
        <w:t xml:space="preserve">), untuk mengonfirmasi makna atau bila penafsiran awal ambigu. Pasal 33 mengatur perjanjian yang diautentikasi dalam beberapa bahasa.</w:t>
      </w:r>
    </w:p>
    <w:p>
      <w:pPr>
        <w:pStyle w:val="Heading2"/>
        <w:keepNext/>
        <w:spacing w:after="120" w:before="280"/>
      </w:pPr>
      <w:r>
        <w:t xml:space="preserve">F. Perjanjian yang Cacat, Berakhir, atau Ditangguhkan</w:t>
      </w:r>
    </w:p>
    <w:p>
      <w:pPr>
        <w:spacing w:after="140" w:before="0" w:line="300"/>
        <w:jc w:val="both"/>
      </w:pPr>
      <w:r>
        <w:rPr>
          <w:sz w:val="22"/>
          <w:szCs w:val="22"/>
        </w:rPr>
        <w:t xml:space="preserve">Perjanjian dapat dinyatakan tidak sah atau batal karena beberapa sebab:</w:t>
      </w:r>
    </w:p>
    <w:p>
      <w:pPr>
        <w:pStyle w:val="ListParagraph"/>
        <w:numPr>
          <w:ilvl w:val="0"/>
          <w:numId w:val="2"/>
        </w:numPr>
        <w:spacing w:after="80" w:line="290"/>
        <w:jc w:val="left"/>
      </w:pPr>
      <w:r>
        <w:rPr>
          <w:sz w:val="22"/>
          <w:szCs w:val="22"/>
        </w:rPr>
        <w:t xml:space="preserve">kesalahan (error), penipuan, atau korupsi terhadap wakil negara;</w:t>
      </w:r>
    </w:p>
    <w:p>
      <w:pPr>
        <w:pStyle w:val="ListParagraph"/>
        <w:numPr>
          <w:ilvl w:val="0"/>
          <w:numId w:val="2"/>
        </w:numPr>
        <w:spacing w:after="80" w:line="290"/>
        <w:jc w:val="left"/>
      </w:pPr>
      <w:r>
        <w:rPr>
          <w:sz w:val="22"/>
          <w:szCs w:val="22"/>
        </w:rPr>
        <w:t xml:space="preserve">paksaan terhadap wakil negara atau paksaan terhadap negara melalui ancaman atau penggunaan kekerasan yang melanggar Piagam PBB;</w:t>
      </w:r>
    </w:p>
    <w:p>
      <w:pPr>
        <w:pStyle w:val="ListParagraph"/>
        <w:numPr>
          <w:ilvl w:val="0"/>
          <w:numId w:val="2"/>
        </w:numPr>
        <w:spacing w:after="80" w:line="290"/>
        <w:jc w:val="left"/>
      </w:pPr>
      <w:r>
        <w:rPr>
          <w:sz w:val="22"/>
          <w:szCs w:val="22"/>
        </w:rPr>
        <w:t xml:space="preserve">pertentangan dengan norma </w:t>
      </w:r>
      <w:r>
        <w:rPr>
          <w:i/>
          <w:iCs/>
          <w:sz w:val="22"/>
          <w:szCs w:val="22"/>
        </w:rPr>
        <w:t xml:space="preserve">jus cogens</w:t>
      </w:r>
      <w:r>
        <w:rPr>
          <w:sz w:val="22"/>
          <w:szCs w:val="22"/>
        </w:rPr>
        <w:t xml:space="preserve"> (Pasal 53).</w:t>
      </w:r>
    </w:p>
    <w:p>
      <w:pPr>
        <w:spacing w:after="80" w:line="200"/>
      </w:pPr>
    </w:p>
    <w:p>
      <w:pPr>
        <w:spacing w:after="140" w:before="0" w:line="300"/>
        <w:jc w:val="both"/>
      </w:pPr>
      <w:r>
        <w:rPr>
          <w:sz w:val="22"/>
          <w:szCs w:val="22"/>
        </w:rPr>
        <w:t xml:space="preserve">Perjanjian dapat berakhir atau ditangguhkan berdasarkan ketentuan perjanjian itu sendiri, kesepakatan para pihak, pelanggaran material oleh salah satu pihak (Pasal 60), ketidakmungkinan pelaksanaan, atau perubahan keadaan yang fundamental (</w:t>
      </w:r>
      <w:r>
        <w:rPr>
          <w:i/>
          <w:iCs/>
          <w:sz w:val="22"/>
          <w:szCs w:val="22"/>
        </w:rPr>
        <w:t xml:space="preserve">rebus sic stantibus</w:t>
      </w:r>
      <w:r>
        <w:rPr>
          <w:sz w:val="22"/>
          <w:szCs w:val="22"/>
        </w:rPr>
        <w:t xml:space="preserve">, Pasal 62). Dalam perkara </w:t>
      </w:r>
      <w:r>
        <w:rPr>
          <w:i/>
          <w:iCs/>
          <w:sz w:val="22"/>
          <w:szCs w:val="22"/>
        </w:rPr>
        <w:t xml:space="preserve">Gabčíkovo-Nagymaros</w:t>
      </w:r>
      <w:r>
        <w:rPr>
          <w:sz w:val="22"/>
          <w:szCs w:val="22"/>
        </w:rPr>
        <w:t xml:space="preserve"> (1997), ICJ menegaskan bahwa perubahan keadaan hanya dapat menjadi alasan dalam kondisi sangat terbatas.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Kasus: Gabčíkovo-Nagymaros (Hongaria/Slowakia, 1997)</w:t>
            </w:r>
          </w:p>
          <w:p>
            <w:pPr>
              <w:spacing w:after="80" w:before="0" w:line="290"/>
              <w:jc w:val="left"/>
            </w:pPr>
            <w:r>
              <w:rPr>
                <w:sz w:val="21"/>
                <w:szCs w:val="21"/>
              </w:rPr>
              <w:t xml:space="preserve">Hongaria dan Cekoslowakia membuat perjanjian 1977 untuk membangun sistem bendungan di Sungai Danube. Hongaria kemudian menghentikan pekerjaan dengan alasan kekhawatiran lingkungan dan menyatakan perjanjian berakhir. ICJ menolak dalih Hongaria: keadaan yang ada tidak cukup mendasar untuk mengakhiri perjanjian, dan perjanjian tetap berlaku. Namun, ICJ juga menekankan agar kedua pihak bernegosiasi dengan itikad baik, dengan mempertimbangkan norma lingkungan yang berkembang. Kasus ini mempertemukan hukum perjanjian, tanggung jawab negara, dan hukum lingkungan.</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Tahukah Kamu? Nama Boleh Beda, Daya Ikat Sama</w:t>
            </w:r>
          </w:p>
          <w:p>
            <w:pPr>
              <w:spacing w:after="80" w:before="0" w:line="290"/>
              <w:jc w:val="left"/>
            </w:pPr>
            <w:r>
              <w:rPr>
                <w:sz w:val="21"/>
                <w:szCs w:val="21"/>
              </w:rPr>
              <w:t xml:space="preserve">MoU (memorandum of understanding) sering dianggap tidak mengikat. Padahal jawabannya bergantung pada isi dan maksud para pihak, bukan judulnya. Karena itu, penyusun naskah perlu berhati-hati memilih kata seperti "shall" (mewajibkan) dan "will" atau "intend" (niat), dan menyatakan tegas apakah dokumen dimaksudkan mengikat secara hukum atau tidak.</w:t>
            </w:r>
          </w:p>
        </w:tc>
      </w:tr>
    </w:tbl>
    <w:p>
      <w:pPr>
        <w:spacing w:after="160" w:line="200"/>
      </w:pP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Perjanjian internasional adalah persetujuan tertulis antarnegara yang diatur hukum internasional, apa pun namanya.</w:t>
            </w:r>
          </w:p>
          <w:p>
            <w:pPr>
              <w:pStyle w:val="ListParagraph"/>
              <w:numPr>
                <w:ilvl w:val="0"/>
                <w:numId w:val="2"/>
              </w:numPr>
              <w:spacing w:after="80" w:line="290"/>
              <w:jc w:val="left"/>
            </w:pPr>
            <w:r>
              <w:rPr>
                <w:sz w:val="21"/>
                <w:szCs w:val="21"/>
              </w:rPr>
              <w:t xml:space="preserve">Tahapannya: perundingan, adopsi, penandatanganan, pengesahan, dan berlaku.</w:t>
            </w:r>
          </w:p>
          <w:p>
            <w:pPr>
              <w:pStyle w:val="ListParagraph"/>
              <w:numPr>
                <w:ilvl w:val="0"/>
                <w:numId w:val="2"/>
              </w:numPr>
              <w:spacing w:after="80" w:line="290"/>
              <w:jc w:val="left"/>
            </w:pPr>
            <w:r>
              <w:rPr>
                <w:sz w:val="21"/>
                <w:szCs w:val="21"/>
              </w:rPr>
              <w:t xml:space="preserve">Reservasi diperbolehkan sepanjang tidak dilarang dan tidak bertentangan dengan objek dan tujuan perjanjian.</w:t>
            </w:r>
          </w:p>
          <w:p>
            <w:pPr>
              <w:pStyle w:val="ListParagraph"/>
              <w:numPr>
                <w:ilvl w:val="0"/>
                <w:numId w:val="2"/>
              </w:numPr>
              <w:spacing w:after="80" w:line="290"/>
              <w:jc w:val="left"/>
            </w:pPr>
            <w:r>
              <w:rPr>
                <w:sz w:val="21"/>
                <w:szCs w:val="21"/>
              </w:rPr>
              <w:t xml:space="preserve">Pacta sunt servanda dan larangan berlindung di balik hukum nasional adalah fondasi hukum perjanjian.</w:t>
            </w:r>
          </w:p>
          <w:p>
            <w:pPr>
              <w:pStyle w:val="ListParagraph"/>
              <w:numPr>
                <w:ilvl w:val="0"/>
                <w:numId w:val="2"/>
              </w:numPr>
              <w:spacing w:after="80" w:line="290"/>
              <w:jc w:val="left"/>
            </w:pPr>
            <w:r>
              <w:rPr>
                <w:sz w:val="21"/>
                <w:szCs w:val="21"/>
              </w:rPr>
              <w:t xml:space="preserve">Perjanjian bisa batal, berakhir, atau ditangguhkan karena sebab-sebab tertentu yang diatur ketat.</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VCLT 1969  •  ratifikasi  •  reservasi  •  pacta sunt servanda  •  travaux préparatoires  •  rebus sic stantibus  •  jus cogens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11"/>
              </w:numPr>
              <w:spacing w:after="80" w:line="290"/>
              <w:jc w:val="left"/>
            </w:pPr>
            <w:r>
              <w:rPr>
                <w:sz w:val="21"/>
                <w:szCs w:val="21"/>
              </w:rPr>
              <w:t xml:space="preserve">Apa perbedaan penandatanganan dan ratifikasi? Mengapa negara perlu keduanya?</w:t>
            </w:r>
          </w:p>
          <w:p>
            <w:pPr>
              <w:pStyle w:val="ListParagraph"/>
              <w:numPr>
                <w:ilvl w:val="0"/>
                <w:numId w:val="11"/>
              </w:numPr>
              <w:spacing w:after="80" w:line="290"/>
              <w:jc w:val="left"/>
            </w:pPr>
            <w:r>
              <w:rPr>
                <w:sz w:val="21"/>
                <w:szCs w:val="21"/>
              </w:rPr>
              <w:t xml:space="preserve">Apakah reservasi yang menghapus inti sebuah perjanjian dapat diterima? Jelaskan dengan Pasal 19 VCLT.</w:t>
            </w:r>
          </w:p>
          <w:p>
            <w:pPr>
              <w:pStyle w:val="ListParagraph"/>
              <w:numPr>
                <w:ilvl w:val="0"/>
                <w:numId w:val="11"/>
              </w:numPr>
              <w:spacing w:after="80" w:line="290"/>
              <w:jc w:val="left"/>
            </w:pPr>
            <w:r>
              <w:rPr>
                <w:sz w:val="21"/>
                <w:szCs w:val="21"/>
              </w:rPr>
              <w:t xml:space="preserve">Mengapa ICJ menolak dalih perubahan keadaan fundamental dalam Gabčíkovo-Nagymaros?</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Merancang Perjanjian Mini (35 menit).</w:t>
            </w:r>
            <w:r>
              <w:rPr>
                <w:sz w:val="21"/>
                <w:szCs w:val="21"/>
              </w:rPr>
              <w:t xml:space="preserve"> Kelompok merancang perjanjian bilateral fiktif tentang kerja sama pengelolaan Selat Malaka antara dua negara. Naskah minimal memuat pembukaan, dua pasal pokok, klausul reservasi, klausul penyelesaian sengketa, dan klausul berlakunya. Kelompok lain berperan sebagai penafsir dengan menggunakan Pasal 31-32 VCLT.</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"Aku ingin melatih kemampuan menafsirkan perjanjian. Berikan tiga klausul fiktif yang sengaja dibuat ambigu, lalu minta aku menafsirkannya memakai Pasal 31 dan 32 Konvensi Wina 1969. Setelah aku menjawab, tunjukkan celah dalam penalaranku."</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Boer Mauna, </w:t>
      </w:r>
      <w:r>
        <w:rPr>
          <w:i/>
          <w:iCs/>
          <w:color w:val="595959"/>
          <w:sz w:val="20"/>
          <w:szCs w:val="20"/>
        </w:rPr>
        <w:t xml:space="preserve">Hukum Internasional</w:t>
      </w:r>
      <w:r>
        <w:rPr>
          <w:color w:val="595959"/>
          <w:sz w:val="20"/>
          <w:szCs w:val="20"/>
        </w:rPr>
        <w:t xml:space="preserve"> (bab perjanjian); J.G. Starke, </w:t>
      </w:r>
      <w:r>
        <w:rPr>
          <w:i/>
          <w:iCs/>
          <w:color w:val="595959"/>
          <w:sz w:val="20"/>
          <w:szCs w:val="20"/>
        </w:rPr>
        <w:t xml:space="preserve">Introduction to International Law</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teks Konvensi Wina 1969 dan UU No. 24 Tahun 2000.</w:t>
      </w:r>
    </w:p>
    <w:p>
      <w:pPr>
        <w:keepNext/>
        <w:pageBreakBefore/>
        <w:spacing w:after="60"/>
      </w:pPr>
      <w:r>
        <w:rPr>
          <w:rFonts w:ascii="Calibri" w:cs="Calibri" w:eastAsia="Calibri" w:hAnsi="Calibri"/>
          <w:b/>
          <w:bCs/>
          <w:color w:val="B8892B"/>
          <w:spacing w:val="60"/>
          <w:sz w:val="22"/>
          <w:szCs w:val="22"/>
        </w:rPr>
        <w:t xml:space="preserve">PERTEMUAN 8</w:t>
      </w:r>
    </w:p>
    <w:p>
      <w:pPr>
        <w:pStyle w:val="Heading1"/>
        <w:keepNext/>
        <w:pBdr>
          <w:bottom w:val="single" w:color="B8892B" w:sz="12" w:space="6"/>
        </w:pBdr>
        <w:spacing w:after="100"/>
      </w:pPr>
      <w:r>
        <w:t xml:space="preserve">Persiapan Ujian Tengah Semester</w:t>
      </w:r>
    </w:p>
    <w:p>
      <w:pPr>
        <w:spacing w:after="200"/>
      </w:pPr>
      <w:r>
        <w:rPr>
          <w:rFonts w:ascii="Cambria" w:cs="Cambria" w:eastAsia="Cambria" w:hAnsi="Cambria"/>
          <w:i/>
          <w:iCs/>
          <w:color w:val="595959"/>
          <w:sz w:val="26"/>
          <w:szCs w:val="26"/>
        </w:rPr>
        <w:t xml:space="preserve">Bab 1 sampai Bab 7</w:t>
      </w:r>
    </w:p>
    <w:p>
      <w:pPr>
        <w:spacing w:after="140" w:before="0" w:line="300"/>
        <w:jc w:val="both"/>
      </w:pPr>
      <w:r>
        <w:rPr>
          <w:sz w:val="22"/>
          <w:szCs w:val="22"/>
        </w:rPr>
        <w:t xml:space="preserve">UTS menguji pemahaman fondasi: apa itu hukum internasional, dari mana ia berasal, siapa subjeknya, bagaimana ia berhubungan dengan hukum nasional, dan bagaimana perjanjian dibuat. Ujian tidak sekadar meminta hafalan; kamu diharapkan menerapkan konsep pada kasus. Bobot UTS adalah 25 persen dari nilai akhir.</w:t>
      </w:r>
    </w:p>
    <w:p>
      <w:pPr>
        <w:pStyle w:val="Heading2"/>
        <w:keepNext/>
        <w:spacing w:after="120" w:before="280"/>
      </w:pPr>
      <w:r>
        <w:t xml:space="preserve">Kisi-Kisi Kompetensi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4000"/>
        <w:gridCol w:w="4126"/>
      </w:tblGrid>
      <w:tr>
        <w:trPr>
          <w:cantSplit/>
          <w:tblHeader/>
        </w:trPr>
        <w:tc>
          <w:tcPr>
            <w:tcW w:type="dxa" w:w="9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Bab</w:t>
            </w:r>
          </w:p>
        </w:tc>
        <w:tc>
          <w:tcPr>
            <w:tcW w:type="dxa" w:w="40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Kompetensi yang Diuji</w:t>
            </w:r>
          </w:p>
        </w:tc>
        <w:tc>
          <w:tcPr>
            <w:tcW w:type="dxa" w:w="41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Contoh Bentuk Soal</w:t>
            </w:r>
          </w:p>
        </w:tc>
      </w:tr>
      <w:tr>
        <w:trPr>
          <w:cantSplit/>
        </w:trPr>
        <w:tc>
          <w:tcPr>
            <w:tcW w:type="dxa" w:w="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w:t>
            </w:r>
          </w:p>
        </w:tc>
        <w:tc>
          <w:tcPr>
            <w:tcW w:type="dxa" w:w="4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Membedakan HI publik dan HPI; menjelaskan alasan ketaatan negara</w:t>
            </w:r>
          </w:p>
        </w:tc>
        <w:tc>
          <w:tcPr>
            <w:tcW w:type="dxa" w:w="41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Apakah hukum internasional benar-benar hukum? Jelaskan dengan dua argumen.</w:t>
            </w:r>
          </w:p>
        </w:tc>
      </w:tr>
      <w:tr>
        <w:trPr>
          <w:cantSplit/>
        </w:trPr>
        <w:tc>
          <w:tcPr>
            <w:tcW w:type="dxa" w:w="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2</w:t>
            </w:r>
          </w:p>
        </w:tc>
        <w:tc>
          <w:tcPr>
            <w:tcW w:type="dxa" w:w="4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Menghubungkan peristiwa sejarah dengan perkembangan norma</w:t>
            </w:r>
          </w:p>
        </w:tc>
        <w:tc>
          <w:tcPr>
            <w:tcW w:type="dxa" w:w="41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Jelaskan dampak Perdamaian Westphalia dan lahirnya PBB pada struktur hukum internasional.</w:t>
            </w:r>
          </w:p>
        </w:tc>
      </w:tr>
      <w:tr>
        <w:trPr>
          <w:cantSplit/>
        </w:trPr>
        <w:tc>
          <w:tcPr>
            <w:tcW w:type="dxa" w:w="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3</w:t>
            </w:r>
          </w:p>
        </w:tc>
        <w:tc>
          <w:tcPr>
            <w:tcW w:type="dxa" w:w="4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Menerapkan Pasal 38 pada kasus</w:t>
            </w:r>
          </w:p>
        </w:tc>
        <w:tc>
          <w:tcPr>
            <w:tcW w:type="dxa" w:w="41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Sebuah negara tidak meratifikasi konvensi, tetapi mengikuti praktiknya selama puluhan tahun. Apakah ia terikat?</w:t>
            </w:r>
          </w:p>
        </w:tc>
      </w:tr>
      <w:tr>
        <w:trPr>
          <w:cantSplit/>
        </w:trPr>
        <w:tc>
          <w:tcPr>
            <w:tcW w:type="dxa" w:w="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4</w:t>
            </w:r>
          </w:p>
        </w:tc>
        <w:tc>
          <w:tcPr>
            <w:tcW w:type="dxa" w:w="4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Menilai status subjek hukum</w:t>
            </w:r>
          </w:p>
        </w:tc>
        <w:tc>
          <w:tcPr>
            <w:tcW w:type="dxa" w:w="41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Analisis status hukum organisasi internasional dalam Reparation for Injuries.</w:t>
            </w:r>
          </w:p>
        </w:tc>
      </w:tr>
      <w:tr>
        <w:trPr>
          <w:cantSplit/>
        </w:trPr>
        <w:tc>
          <w:tcPr>
            <w:tcW w:type="dxa" w:w="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5</w:t>
            </w:r>
          </w:p>
        </w:tc>
        <w:tc>
          <w:tcPr>
            <w:tcW w:type="dxa" w:w="4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Menilai unsur negara dan pengakuan</w:t>
            </w:r>
          </w:p>
        </w:tc>
        <w:tc>
          <w:tcPr>
            <w:tcW w:type="dxa" w:w="41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Sebuah wilayah menyatakan merdeka. Nilai dengan Konvensi Montevideo dan teori pengakuan.</w:t>
            </w:r>
          </w:p>
        </w:tc>
      </w:tr>
      <w:tr>
        <w:trPr>
          <w:cantSplit/>
        </w:trPr>
        <w:tc>
          <w:tcPr>
            <w:tcW w:type="dxa" w:w="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6</w:t>
            </w:r>
          </w:p>
        </w:tc>
        <w:tc>
          <w:tcPr>
            <w:tcW w:type="dxa" w:w="4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Menjelaskan praktik monisme dan dualisme, serta ratifikasi di Indonesia</w:t>
            </w:r>
          </w:p>
        </w:tc>
        <w:tc>
          <w:tcPr>
            <w:tcW w:type="dxa" w:w="41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Kapan perjanjian internasional disahkan dengan undang-undang? Beri contoh.</w:t>
            </w:r>
          </w:p>
        </w:tc>
      </w:tr>
      <w:tr>
        <w:trPr>
          <w:cantSplit/>
        </w:trPr>
        <w:tc>
          <w:tcPr>
            <w:tcW w:type="dxa" w:w="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7</w:t>
            </w:r>
          </w:p>
        </w:tc>
        <w:tc>
          <w:tcPr>
            <w:tcW w:type="dxa" w:w="4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Menerapkan VCLT</w:t>
            </w:r>
          </w:p>
        </w:tc>
        <w:tc>
          <w:tcPr>
            <w:tcW w:type="dxa" w:w="41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Jelaskan kapan reservasi tidak diperbolehkan dan akibat perjanjian yang bertentangan dengan jus cogens.</w:t>
            </w:r>
          </w:p>
        </w:tc>
      </w:tr>
    </w:tbl>
    <w:p>
      <w:pPr>
        <w:spacing w:after="160" w:line="200"/>
      </w:pPr>
    </w:p>
    <w:p>
      <w:pPr>
        <w:pStyle w:val="Heading2"/>
        <w:keepNext/>
        <w:spacing w:after="120" w:before="280"/>
      </w:pPr>
      <w:r>
        <w:t xml:space="preserve">Strategi Persiapan</w:t>
      </w:r>
    </w:p>
    <w:p>
      <w:pPr>
        <w:pStyle w:val="ListParagraph"/>
        <w:numPr>
          <w:ilvl w:val="0"/>
          <w:numId w:val="2"/>
        </w:numPr>
        <w:spacing w:after="80" w:line="290"/>
        <w:jc w:val="left"/>
      </w:pPr>
      <w:r>
        <w:rPr>
          <w:sz w:val="22"/>
          <w:szCs w:val="22"/>
        </w:rPr>
        <w:t xml:space="preserve">Buat peta konsep satu halaman untuk tiap bab, lalu gabungkan.</w:t>
      </w:r>
    </w:p>
    <w:p>
      <w:pPr>
        <w:pStyle w:val="ListParagraph"/>
        <w:numPr>
          <w:ilvl w:val="0"/>
          <w:numId w:val="2"/>
        </w:numPr>
        <w:spacing w:after="80" w:line="290"/>
        <w:jc w:val="left"/>
      </w:pPr>
      <w:r>
        <w:rPr>
          <w:sz w:val="22"/>
          <w:szCs w:val="22"/>
        </w:rPr>
        <w:t xml:space="preserve">Latih metode IRAC: Isu, Rule (aturan), Analisis, Conclusion (kesimpulan).</w:t>
      </w:r>
    </w:p>
    <w:p>
      <w:pPr>
        <w:pStyle w:val="ListParagraph"/>
        <w:numPr>
          <w:ilvl w:val="0"/>
          <w:numId w:val="2"/>
        </w:numPr>
        <w:spacing w:after="80" w:line="290"/>
        <w:jc w:val="left"/>
      </w:pPr>
      <w:r>
        <w:rPr>
          <w:sz w:val="22"/>
          <w:szCs w:val="22"/>
        </w:rPr>
        <w:t xml:space="preserve">Hafalkan pasal kunci: Pasal 38 Statuta ICJ, Pasal 1 Montevideo, Pasal 26 dan 27 VCLT, dan Pasal 11 UUD 1945.</w:t>
      </w:r>
    </w:p>
    <w:p>
      <w:pPr>
        <w:pStyle w:val="ListParagraph"/>
        <w:numPr>
          <w:ilvl w:val="0"/>
          <w:numId w:val="2"/>
        </w:numPr>
        <w:spacing w:after="80" w:line="290"/>
        <w:jc w:val="left"/>
      </w:pPr>
      <w:r>
        <w:rPr>
          <w:sz w:val="22"/>
          <w:szCs w:val="22"/>
        </w:rPr>
        <w:t xml:space="preserve">Kerjakan soal diskusi di tiap bab dengan menulis jawaban lengkap, bukan sekadar poin-poin.</w:t>
      </w:r>
    </w:p>
    <w:p>
      <w:pPr>
        <w:pStyle w:val="ListParagraph"/>
        <w:numPr>
          <w:ilvl w:val="0"/>
          <w:numId w:val="2"/>
        </w:numPr>
        <w:spacing w:after="80" w:line="290"/>
        <w:jc w:val="left"/>
      </w:pPr>
      <w:r>
        <w:rPr>
          <w:sz w:val="22"/>
          <w:szCs w:val="22"/>
        </w:rPr>
        <w:t xml:space="preserve">Gunakan AI sebagai penguji lisan, bukan sebagai penjawab.</w:t>
      </w:r>
    </w:p>
    <w:p>
      <w:pPr>
        <w:spacing w:after="120" w:line="200"/>
      </w:pPr>
    </w:p>
    <w:p>
      <w:pPr>
        <w:keepNext/>
        <w:pageBreakBefore/>
        <w:spacing w:after="60"/>
      </w:pPr>
      <w:r>
        <w:rPr>
          <w:rFonts w:ascii="Calibri" w:cs="Calibri" w:eastAsia="Calibri" w:hAnsi="Calibri"/>
          <w:b/>
          <w:bCs/>
          <w:color w:val="B8892B"/>
          <w:spacing w:val="60"/>
          <w:sz w:val="22"/>
          <w:szCs w:val="22"/>
        </w:rPr>
        <w:t xml:space="preserve">BAB 8   |   PERTEMUAN 9</w:t>
      </w:r>
    </w:p>
    <w:p>
      <w:pPr>
        <w:pStyle w:val="Heading1"/>
        <w:keepNext/>
        <w:pBdr>
          <w:bottom w:val="single" w:color="B8892B" w:sz="12" w:space="6"/>
        </w:pBdr>
        <w:spacing w:after="100"/>
      </w:pPr>
      <w:r>
        <w:t xml:space="preserve">Siapa yang Berhak Mengadili? Perburuan Yurisdiksi Lintas Batas</w:t>
      </w:r>
    </w:p>
    <w:p>
      <w:pPr>
        <w:spacing w:after="200"/>
      </w:pPr>
      <w:r>
        <w:rPr>
          <w:rFonts w:ascii="Cambria" w:cs="Cambria" w:eastAsia="Cambria" w:hAnsi="Cambria"/>
          <w:i/>
          <w:iCs/>
          <w:color w:val="595959"/>
          <w:sz w:val="26"/>
          <w:szCs w:val="26"/>
        </w:rPr>
        <w:t xml:space="preserve">Yurisdiksi Negara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Kasus di Tengah Laut</w:t>
            </w:r>
          </w:p>
          <w:p>
            <w:pPr>
              <w:spacing w:after="80" w:before="0" w:line="290"/>
              <w:jc w:val="left"/>
            </w:pPr>
            <w:r>
              <w:rPr>
                <w:sz w:val="21"/>
                <w:szCs w:val="21"/>
              </w:rPr>
              <w:t xml:space="preserve">Sebuah kapal berbendera Panama menabrak kapal nelayan Indonesia di laut lepas. Nakhoda kapal Panama berkewarganegaraan Filipina, korban tewas berkewarganegaraan Indonesia. Negara mana yang berhak mengadili? Pertanyaan tentang siapa yang berwenang menerapkan hukum atas peristiwa lintas batas disebut </w:t>
            </w:r>
            <w:r>
              <w:rPr>
                <w:b/>
                <w:bCs/>
                <w:sz w:val="21"/>
                <w:szCs w:val="21"/>
              </w:rPr>
              <w:t xml:space="preserve">yurisdiksi</w:t>
            </w:r>
            <w:r>
              <w:rPr>
                <w:sz w:val="21"/>
                <w:szCs w:val="21"/>
              </w:rPr>
              <w:t xml:space="preserve">, dan salah satu putusan paling terkenal dalam sejarah hukum internasional lahir dari peristiwa yang mirip persis dengan skenario ini.</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pengertian dan jenis yurisdiksi (legislatif, yudisial, eksekutif);</w:t>
            </w:r>
          </w:p>
          <w:p>
            <w:pPr>
              <w:pStyle w:val="ListParagraph"/>
              <w:numPr>
                <w:ilvl w:val="0"/>
                <w:numId w:val="2"/>
              </w:numPr>
              <w:spacing w:after="80" w:line="290"/>
              <w:jc w:val="left"/>
            </w:pPr>
            <w:r>
              <w:rPr>
                <w:sz w:val="21"/>
                <w:szCs w:val="21"/>
              </w:rPr>
              <w:t xml:space="preserve">menguraikan prinsip-prinsip dasar yurisdiksi: teritorial, nasionalitas, perlindungan, universal;</w:t>
            </w:r>
          </w:p>
          <w:p>
            <w:pPr>
              <w:pStyle w:val="ListParagraph"/>
              <w:numPr>
                <w:ilvl w:val="0"/>
                <w:numId w:val="2"/>
              </w:numPr>
              <w:spacing w:after="80" w:line="290"/>
              <w:jc w:val="left"/>
            </w:pPr>
            <w:r>
              <w:rPr>
                <w:sz w:val="21"/>
                <w:szCs w:val="21"/>
              </w:rPr>
              <w:t xml:space="preserve">menjelaskan kekebalan (imunitas) negara, pejabat, dan diplomat serta ekstradisi;</w:t>
            </w:r>
          </w:p>
          <w:p>
            <w:pPr>
              <w:pStyle w:val="ListParagraph"/>
              <w:numPr>
                <w:ilvl w:val="0"/>
                <w:numId w:val="2"/>
              </w:numPr>
              <w:spacing w:after="80" w:line="290"/>
              <w:jc w:val="left"/>
            </w:pPr>
            <w:r>
              <w:rPr>
                <w:sz w:val="21"/>
                <w:szCs w:val="21"/>
              </w:rPr>
              <w:t xml:space="preserve">menerapkan prinsip yurisdiksi pada kasus hipotetik dan kasus terkenal.</w:t>
            </w:r>
          </w:p>
        </w:tc>
      </w:tr>
    </w:tbl>
    <w:p>
      <w:pPr>
        <w:spacing w:after="160" w:line="200"/>
      </w:pPr>
    </w:p>
    <w:p>
      <w:pPr>
        <w:pStyle w:val="Heading2"/>
        <w:keepNext/>
        <w:spacing w:after="120" w:before="280"/>
      </w:pPr>
      <w:r>
        <w:t xml:space="preserve">A. Apa Itu Yurisdiksi?</w:t>
      </w:r>
    </w:p>
    <w:p>
      <w:pPr>
        <w:spacing w:after="140" w:before="0" w:line="300"/>
        <w:jc w:val="both"/>
      </w:pPr>
      <w:r>
        <w:rPr>
          <w:sz w:val="22"/>
          <w:szCs w:val="22"/>
        </w:rPr>
        <w:t xml:space="preserve">Yurisdiksi adalah kewenangan negara untuk mengatur (yurisdiksi preskriptif atau legislatif), memutus perkara (yurisdiksi yudisial), dan melaksanakan aturan atau putusan (yurisdiksi eksekutif atau penegakan) terhadap orang, benda, atau peristiwa. Ia lahir dari kedaulatan, tetapi hukum internasional membatasi bagaimana negara memakainya agar tidak mencampuri kedaulatan negara lain. Perlu dicatat: kewenangan mengatur bisa lebih luas daripada kewenangan menegakkan. Negara tidak boleh mengirim polisinya menangkap orang di wilayah negara lain tanpa izin, meskipun hukum pidananya mengklaim berlaku.</w:t>
      </w:r>
    </w:p>
    <w:p>
      <w:pPr>
        <w:pStyle w:val="Heading2"/>
        <w:keepNext/>
        <w:spacing w:after="120" w:before="280"/>
      </w:pPr>
      <w:r>
        <w:t xml:space="preserve">B. Prinsip-Prinsip Dasar Yurisdiksi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400"/>
        <w:gridCol w:w="3326"/>
      </w:tblGrid>
      <w:tr>
        <w:trPr>
          <w:cantSplit/>
          <w:tblHeader/>
        </w:trPr>
        <w:tc>
          <w:tcPr>
            <w:tcW w:type="dxa" w:w="23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Prinsip</w:t>
            </w:r>
          </w:p>
        </w:tc>
        <w:tc>
          <w:tcPr>
            <w:tcW w:type="dxa" w:w="34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Dasar</w:t>
            </w:r>
          </w:p>
        </w:tc>
        <w:tc>
          <w:tcPr>
            <w:tcW w:type="dxa" w:w="33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Contoh</w:t>
            </w:r>
          </w:p>
        </w:tc>
      </w:tr>
      <w:tr>
        <w:trPr>
          <w:cantSplit/>
        </w:trPr>
        <w:tc>
          <w:tcPr>
            <w:tcW w:type="dxa" w:w="23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Teritorial</w:t>
            </w:r>
          </w:p>
        </w:tc>
        <w:tc>
          <w:tcPr>
            <w:tcW w:type="dxa" w:w="34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Tindak pidana terjadi di wilayah negara</w:t>
            </w:r>
          </w:p>
        </w:tc>
        <w:tc>
          <w:tcPr>
            <w:tcW w:type="dxa" w:w="3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Pencurian di Pekanbaru diadili di Indonesia</w:t>
            </w:r>
          </w:p>
        </w:tc>
      </w:tr>
      <w:tr>
        <w:trPr>
          <w:cantSplit/>
        </w:trPr>
        <w:tc>
          <w:tcPr>
            <w:tcW w:type="dxa" w:w="23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Nasionalitas aktif</w:t>
            </w:r>
          </w:p>
        </w:tc>
        <w:tc>
          <w:tcPr>
            <w:tcW w:type="dxa" w:w="34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Pelaku warga negara</w:t>
            </w:r>
          </w:p>
        </w:tc>
        <w:tc>
          <w:tcPr>
            <w:tcW w:type="dxa" w:w="3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WNI yang melakukan tindak pidana di luar negeri dapat diadili di Indonesia</w:t>
            </w:r>
          </w:p>
        </w:tc>
      </w:tr>
      <w:tr>
        <w:trPr>
          <w:cantSplit/>
        </w:trPr>
        <w:tc>
          <w:tcPr>
            <w:tcW w:type="dxa" w:w="23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Nasionalitas pasif</w:t>
            </w:r>
          </w:p>
        </w:tc>
        <w:tc>
          <w:tcPr>
            <w:tcW w:type="dxa" w:w="34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Korban warga negara</w:t>
            </w:r>
          </w:p>
        </w:tc>
        <w:tc>
          <w:tcPr>
            <w:tcW w:type="dxa" w:w="3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Warga negara asing membunuh WNI di luar negeri</w:t>
            </w:r>
          </w:p>
        </w:tc>
      </w:tr>
      <w:tr>
        <w:trPr>
          <w:cantSplit/>
        </w:trPr>
        <w:tc>
          <w:tcPr>
            <w:tcW w:type="dxa" w:w="23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Perlindungan (protective)</w:t>
            </w:r>
          </w:p>
        </w:tc>
        <w:tc>
          <w:tcPr>
            <w:tcW w:type="dxa" w:w="34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Kepentingan vital negara terancam</w:t>
            </w:r>
          </w:p>
        </w:tc>
        <w:tc>
          <w:tcPr>
            <w:tcW w:type="dxa" w:w="3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Pemalsuan mata uang atau spionase terhadap negara</w:t>
            </w:r>
          </w:p>
        </w:tc>
      </w:tr>
      <w:tr>
        <w:trPr>
          <w:cantSplit/>
        </w:trPr>
        <w:tc>
          <w:tcPr>
            <w:tcW w:type="dxa" w:w="23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Universal</w:t>
            </w:r>
          </w:p>
        </w:tc>
        <w:tc>
          <w:tcPr>
            <w:tcW w:type="dxa" w:w="34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Kejahatan sangat serius terhadap masyarakat internasional</w:t>
            </w:r>
          </w:p>
        </w:tc>
        <w:tc>
          <w:tcPr>
            <w:tcW w:type="dxa" w:w="3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Genosida, kejahatan perang, penyiksaan, pembajakan di laut</w:t>
            </w:r>
          </w:p>
        </w:tc>
      </w:tr>
    </w:tbl>
    <w:p>
      <w:pPr>
        <w:spacing w:after="160" w:line="200"/>
      </w:pPr>
    </w:p>
    <w:p>
      <w:pPr>
        <w:spacing w:after="140" w:before="0" w:line="300"/>
        <w:jc w:val="both"/>
      </w:pPr>
      <w:r>
        <w:rPr>
          <w:sz w:val="22"/>
          <w:szCs w:val="22"/>
        </w:rPr>
        <w:t xml:space="preserve">Beberapa negara juga mengenal </w:t>
      </w:r>
      <w:r>
        <w:rPr>
          <w:b/>
          <w:bCs/>
          <w:sz w:val="22"/>
          <w:szCs w:val="22"/>
        </w:rPr>
        <w:t xml:space="preserve">doktrin dampak</w:t>
      </w:r>
      <w:r>
        <w:rPr>
          <w:sz w:val="22"/>
          <w:szCs w:val="22"/>
        </w:rPr>
        <w:t xml:space="preserve"> (</w:t>
      </w:r>
      <w:r>
        <w:rPr>
          <w:i/>
          <w:iCs/>
          <w:sz w:val="22"/>
          <w:szCs w:val="22"/>
        </w:rPr>
        <w:t xml:space="preserve">effects doctrine</w:t>
      </w:r>
      <w:r>
        <w:rPr>
          <w:sz w:val="22"/>
          <w:szCs w:val="22"/>
        </w:rPr>
        <w:t xml:space="preserve">): negara mengklaim yurisdiksi atas perbuatan di luar wilayahnya yang menimbulkan dampak besar di dalam wilayahnya, terutama dalam hukum persaingan usaha. Di Indonesia, KUHP Nasional (UU No. 1 Tahun 2023, mulai berlaku pada 2 Januari 2026) memuat ketentuan tentang berlakunya hukum pidana yang menggabungkan asas teritorial, nasionalitas, perlindungan, dan universal.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Kasus Klasik: S.S. Lotus (PCIJ, 1927)</w:t>
            </w:r>
          </w:p>
          <w:p>
            <w:pPr>
              <w:spacing w:after="80" w:before="0" w:line="290"/>
              <w:jc w:val="left"/>
            </w:pPr>
            <w:r>
              <w:rPr>
                <w:sz w:val="21"/>
                <w:szCs w:val="21"/>
              </w:rPr>
              <w:t xml:space="preserve">Kapal pos Prancis, Lotus, bertabrakan dengan kapal batubara Turki, Boz-Kourt, di laut lepas. Delapan pelaut Turki tewas. Ketika Lotus bersandar di Konstantinopel, perwira jaga Prancis, Demons, ditangkap dan diadili di Turki. Prancis memprotes. PCIJ memutuskan bahwa Turki tidak melanggar hukum internasional: negara bebas menjalankan yurisdiksi sepanjang tidak ada larangan yang tegas. Pandangan ini kemudian sangat dikritik dan, dalam hukum laut, dikoreksi oleh Pasal 97 UNCLOS yang memberi yurisdiksi eksklusif kepada negara bendera atau negara asal pelaku untuk tabrakan di laut lepas.</w:t>
            </w:r>
          </w:p>
        </w:tc>
      </w:tr>
    </w:tbl>
    <w:p>
      <w:pPr>
        <w:spacing w:after="160" w:line="200"/>
      </w:pPr>
    </w:p>
    <w:p>
      <w:pPr>
        <w:pStyle w:val="Heading2"/>
        <w:keepNext/>
        <w:spacing w:after="120" w:before="280"/>
      </w:pPr>
      <w:r>
        <w:t xml:space="preserve">C. Yurisdiksi Universal dan Kejahatan Internasional</w:t>
      </w:r>
    </w:p>
    <w:p>
      <w:pPr>
        <w:spacing w:after="140" w:before="0" w:line="300"/>
        <w:jc w:val="both"/>
      </w:pPr>
      <w:r>
        <w:rPr>
          <w:sz w:val="22"/>
          <w:szCs w:val="22"/>
        </w:rPr>
        <w:t xml:space="preserve">Yurisdiksi universal berdasar pada sifat kejahatan itu sendiri: sedemikian serius sehingga setiap negara boleh mengadili pelakunya, di mana pun dan siapa pun pelakunya. Kasus terkenal antara lain penangkapan dan pengadilan Adolf Eichmann oleh Israel (1961), serta tuntutan yang terkait Augusto Pinochet di Inggris (1998-1999). Penerapannya kontroversial, sehingga banyak negara memilih pendekatan terbatas, misalnya mensyaratkan pelaku berada di wilayah negara pengadil.</w:t>
      </w:r>
    </w:p>
    <w:p>
      <w:pPr>
        <w:pStyle w:val="Heading2"/>
        <w:keepNext/>
        <w:spacing w:after="120" w:before="280"/>
      </w:pPr>
      <w:r>
        <w:t xml:space="preserve">D. Kekebalan (Imunitas): Tidak Semua Orang Bisa Diadili</w:t>
      </w:r>
    </w:p>
    <w:p>
      <w:pPr>
        <w:spacing w:after="140" w:before="0" w:line="300"/>
        <w:jc w:val="both"/>
      </w:pPr>
      <w:r>
        <w:rPr>
          <w:sz w:val="22"/>
          <w:szCs w:val="22"/>
        </w:rPr>
        <w:t xml:space="preserve">Yurisdiksi berbenturan dengan kekebalan. Ada tiga bentuk yang perlu kamu kuasai.</w:t>
      </w:r>
    </w:p>
    <w:p>
      <w:pPr>
        <w:pStyle w:val="ListParagraph"/>
        <w:numPr>
          <w:ilvl w:val="0"/>
          <w:numId w:val="2"/>
        </w:numPr>
        <w:spacing w:after="80" w:line="290"/>
        <w:jc w:val="left"/>
      </w:pPr>
      <w:r>
        <w:rPr>
          <w:b/>
          <w:bCs/>
          <w:sz w:val="22"/>
          <w:szCs w:val="22"/>
        </w:rPr>
        <w:t xml:space="preserve">Kekebalan negara</w:t>
      </w:r>
      <w:r>
        <w:rPr>
          <w:sz w:val="22"/>
          <w:szCs w:val="22"/>
        </w:rPr>
        <w:t xml:space="preserve"> (</w:t>
      </w:r>
      <w:r>
        <w:rPr>
          <w:i/>
          <w:iCs/>
          <w:sz w:val="22"/>
          <w:szCs w:val="22"/>
        </w:rPr>
        <w:t xml:space="preserve">state immunity</w:t>
      </w:r>
      <w:r>
        <w:rPr>
          <w:sz w:val="22"/>
          <w:szCs w:val="22"/>
        </w:rPr>
        <w:t xml:space="preserve">): berdasarkan asas </w:t>
      </w:r>
      <w:r>
        <w:rPr>
          <w:i/>
          <w:iCs/>
          <w:sz w:val="22"/>
          <w:szCs w:val="22"/>
        </w:rPr>
        <w:t xml:space="preserve">par in parem non habet imperium</w:t>
      </w:r>
      <w:r>
        <w:rPr>
          <w:sz w:val="22"/>
          <w:szCs w:val="22"/>
        </w:rPr>
        <w:t xml:space="preserve"> (yang sederajat tidak berkuasa atas yang sederajat), negara tidak dapat diadili di pengadilan negara lain. Praktik modern membedakan tindakan kedaulatan (</w:t>
      </w:r>
      <w:r>
        <w:rPr>
          <w:i/>
          <w:iCs/>
          <w:sz w:val="22"/>
          <w:szCs w:val="22"/>
        </w:rPr>
        <w:t xml:space="preserve">acta jure imperii</w:t>
      </w:r>
      <w:r>
        <w:rPr>
          <w:sz w:val="22"/>
          <w:szCs w:val="22"/>
        </w:rPr>
        <w:t xml:space="preserve">), yang tetap dilindungi, dari tindakan komersial (</w:t>
      </w:r>
      <w:r>
        <w:rPr>
          <w:i/>
          <w:iCs/>
          <w:sz w:val="22"/>
          <w:szCs w:val="22"/>
        </w:rPr>
        <w:t xml:space="preserve">acta jure gestionis</w:t>
      </w:r>
      <w:r>
        <w:rPr>
          <w:sz w:val="22"/>
          <w:szCs w:val="22"/>
        </w:rPr>
        <w:t xml:space="preserve">), yang tidak dilindungi.</w:t>
      </w:r>
    </w:p>
    <w:p>
      <w:pPr>
        <w:pStyle w:val="ListParagraph"/>
        <w:numPr>
          <w:ilvl w:val="0"/>
          <w:numId w:val="2"/>
        </w:numPr>
        <w:spacing w:after="80" w:line="290"/>
        <w:jc w:val="left"/>
      </w:pPr>
      <w:r>
        <w:rPr>
          <w:b/>
          <w:bCs/>
          <w:sz w:val="22"/>
          <w:szCs w:val="22"/>
        </w:rPr>
        <w:t xml:space="preserve">Kekebalan pejabat negara</w:t>
      </w:r>
      <w:r>
        <w:rPr>
          <w:sz w:val="22"/>
          <w:szCs w:val="22"/>
        </w:rPr>
        <w:t xml:space="preserve">: kepala negara, kepala pemerintahan, dan menteri luar negeri yang sedang menjabat menikmati kekebalan dari yurisdiksi pidana negara lain. Dalam perkara </w:t>
      </w:r>
      <w:r>
        <w:rPr>
          <w:i/>
          <w:iCs/>
          <w:sz w:val="22"/>
          <w:szCs w:val="22"/>
        </w:rPr>
        <w:t xml:space="preserve">Arrest Warrant</w:t>
      </w:r>
      <w:r>
        <w:rPr>
          <w:sz w:val="22"/>
          <w:szCs w:val="22"/>
        </w:rPr>
        <w:t xml:space="preserve"> (Kongo/Belgia, 2002), ICJ menyatakan bahwa surat perintah penangkapan Belgia terhadap menteri luar negeri Kongo yang sedang menjabat melanggar hukum internasional, sekaligus menegaskan bahwa kekebalan tidak sama dengan impunitas karena pejabat dapat diadili setelah lengser atau oleh pengadilan internasional tertentu.</w:t>
      </w:r>
    </w:p>
    <w:p>
      <w:pPr>
        <w:pStyle w:val="ListParagraph"/>
        <w:numPr>
          <w:ilvl w:val="0"/>
          <w:numId w:val="2"/>
        </w:numPr>
        <w:spacing w:after="80" w:line="290"/>
        <w:jc w:val="left"/>
      </w:pPr>
      <w:r>
        <w:rPr>
          <w:b/>
          <w:bCs/>
          <w:sz w:val="22"/>
          <w:szCs w:val="22"/>
        </w:rPr>
        <w:t xml:space="preserve">Kekebalan diplomatik dan konsuler</w:t>
      </w:r>
      <w:r>
        <w:rPr>
          <w:sz w:val="22"/>
          <w:szCs w:val="22"/>
        </w:rPr>
        <w:t xml:space="preserve">: diatur Konvensi Wina 1961 dan 1963. Perwakilan diplomatik menikmati inviolabilitas, dan gedung kedutaan tidak boleh dimasuki aparat negara penerima tanpa izin.</w:t>
      </w:r>
    </w:p>
    <w:p>
      <w:pPr>
        <w:spacing w:after="80" w:line="200"/>
      </w:pPr>
    </w:p>
    <w:p>
      <w:pPr>
        <w:pStyle w:val="Heading2"/>
        <w:keepNext/>
        <w:spacing w:after="120" w:before="280"/>
      </w:pPr>
      <w:r>
        <w:t xml:space="preserve">E. Ekstradisi: Menyerahkan Buron Antarnegara</w:t>
      </w:r>
    </w:p>
    <w:p>
      <w:pPr>
        <w:spacing w:after="140" w:before="0" w:line="300"/>
        <w:jc w:val="both"/>
      </w:pPr>
      <w:r>
        <w:rPr>
          <w:sz w:val="22"/>
          <w:szCs w:val="22"/>
        </w:rPr>
        <w:t xml:space="preserve">Ekstradisi adalah penyerahan seseorang yang dituntut atau dihukum oleh negara peminta dari negara diminta. Prinsip-prinsipnya meliputi: </w:t>
      </w:r>
      <w:r>
        <w:rPr>
          <w:b/>
          <w:bCs/>
          <w:sz w:val="22"/>
          <w:szCs w:val="22"/>
        </w:rPr>
        <w:t xml:space="preserve">kejahatan ganda</w:t>
      </w:r>
      <w:r>
        <w:rPr>
          <w:sz w:val="22"/>
          <w:szCs w:val="22"/>
        </w:rPr>
        <w:t xml:space="preserve"> (</w:t>
      </w:r>
      <w:r>
        <w:rPr>
          <w:i/>
          <w:iCs/>
          <w:sz w:val="22"/>
          <w:szCs w:val="22"/>
        </w:rPr>
        <w:t xml:space="preserve">double criminality</w:t>
      </w:r>
      <w:r>
        <w:rPr>
          <w:sz w:val="22"/>
          <w:szCs w:val="22"/>
        </w:rPr>
        <w:t xml:space="preserve">), </w:t>
      </w:r>
      <w:r>
        <w:rPr>
          <w:b/>
          <w:bCs/>
          <w:sz w:val="22"/>
          <w:szCs w:val="22"/>
        </w:rPr>
        <w:t xml:space="preserve">kekhususan</w:t>
      </w:r>
      <w:r>
        <w:rPr>
          <w:sz w:val="22"/>
          <w:szCs w:val="22"/>
        </w:rPr>
        <w:t xml:space="preserve"> (</w:t>
      </w:r>
      <w:r>
        <w:rPr>
          <w:i/>
          <w:iCs/>
          <w:sz w:val="22"/>
          <w:szCs w:val="22"/>
        </w:rPr>
        <w:t xml:space="preserve">specialty</w:t>
      </w:r>
      <w:r>
        <w:rPr>
          <w:sz w:val="22"/>
          <w:szCs w:val="22"/>
        </w:rPr>
        <w:t xml:space="preserve">, orang hanya diadili untuk kejahatan yang menjadi dasar ekstradisi), </w:t>
      </w:r>
      <w:r>
        <w:rPr>
          <w:b/>
          <w:bCs/>
          <w:sz w:val="22"/>
          <w:szCs w:val="22"/>
        </w:rPr>
        <w:t xml:space="preserve">pengecualian kejahatan politik</w:t>
      </w:r>
      <w:r>
        <w:rPr>
          <w:sz w:val="22"/>
          <w:szCs w:val="22"/>
        </w:rPr>
        <w:t xml:space="preserve">, dan sikap banyak negara untuk tidak menyerahkan warga negaranya sendiri. Dasar hukumnya adalah perjanjian bilateral atau multilateral, dan tanpa perjanjian pun dapat dilakukan atas dasar timbal balik. Indonesia mengaturnya dalam UU No. 1 Tahun 1979 tentang Ekstradisi dan telah menjalin perjanjian dengan sejumlah negara, termasuk Singapura yang menandatangani perjanjian baru pada 2022.</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Tahukah Kamu? Bajak Laut Adalah Musuh Semua Bangsa</w:t>
            </w:r>
          </w:p>
          <w:p>
            <w:pPr>
              <w:spacing w:after="80" w:before="0" w:line="290"/>
              <w:jc w:val="left"/>
            </w:pPr>
            <w:r>
              <w:rPr>
                <w:sz w:val="21"/>
                <w:szCs w:val="21"/>
              </w:rPr>
              <w:t xml:space="preserve">Pembajakan di laut lepas adalah contoh tertua yurisdiksi universal. Pembajak disebut </w:t>
            </w:r>
            <w:r>
              <w:rPr>
                <w:i/>
                <w:iCs/>
                <w:sz w:val="21"/>
                <w:szCs w:val="21"/>
              </w:rPr>
              <w:t xml:space="preserve">hostis humani generis</w:t>
            </w:r>
            <w:r>
              <w:rPr>
                <w:sz w:val="21"/>
                <w:szCs w:val="21"/>
              </w:rPr>
              <w:t xml:space="preserve">, musuh seluruh umat manusia, sehingga kapal perang negara mana pun boleh menangkapnya. Selat Malaka, tak jauh dari Riau, pernah menjadi salah satu titik rawan pembajakan dunia, dan kerja sama tiga negara pantai bersama negara pengguna selat membantu menurunkan insidennya.</w:t>
            </w:r>
          </w:p>
        </w:tc>
      </w:tr>
    </w:tbl>
    <w:p>
      <w:pPr>
        <w:spacing w:after="160" w:line="200"/>
      </w:pP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Yurisdiksi mencakup kewenangan mengatur, mengadili, dan menegakkan; kewenangan menegakkan dibatasi oleh kedaulatan negara lain.</w:t>
            </w:r>
          </w:p>
          <w:p>
            <w:pPr>
              <w:pStyle w:val="ListParagraph"/>
              <w:numPr>
                <w:ilvl w:val="0"/>
                <w:numId w:val="2"/>
              </w:numPr>
              <w:spacing w:after="80" w:line="290"/>
              <w:jc w:val="left"/>
            </w:pPr>
            <w:r>
              <w:rPr>
                <w:sz w:val="21"/>
                <w:szCs w:val="21"/>
              </w:rPr>
              <w:t xml:space="preserve">Prinsip yurisdiksi: teritorial, nasionalitas aktif dan pasif, perlindungan, dan universal.</w:t>
            </w:r>
          </w:p>
          <w:p>
            <w:pPr>
              <w:pStyle w:val="ListParagraph"/>
              <w:numPr>
                <w:ilvl w:val="0"/>
                <w:numId w:val="2"/>
              </w:numPr>
              <w:spacing w:after="80" w:line="290"/>
              <w:jc w:val="left"/>
            </w:pPr>
            <w:r>
              <w:rPr>
                <w:sz w:val="21"/>
                <w:szCs w:val="21"/>
              </w:rPr>
              <w:t xml:space="preserve">Kekebalan negara, pejabat, dan diplomat membatasi penerapan yurisdiksi tetapi tidak sama dengan impunitas.</w:t>
            </w:r>
          </w:p>
          <w:p>
            <w:pPr>
              <w:pStyle w:val="ListParagraph"/>
              <w:numPr>
                <w:ilvl w:val="0"/>
                <w:numId w:val="2"/>
              </w:numPr>
              <w:spacing w:after="80" w:line="290"/>
              <w:jc w:val="left"/>
            </w:pPr>
            <w:r>
              <w:rPr>
                <w:sz w:val="21"/>
                <w:szCs w:val="21"/>
              </w:rPr>
              <w:t xml:space="preserve">Ekstradisi bergantung pada perjanjian dan prinsip seperti kejahatan ganda dan kekhususan.</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yurisdiksi  •  asas teritorial  •  nasionalitas  •  yurisdiksi universal  •  kekebalan  •  ekstradisi  •  Lotus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12"/>
              </w:numPr>
              <w:spacing w:after="80" w:line="290"/>
              <w:jc w:val="left"/>
            </w:pPr>
            <w:r>
              <w:rPr>
                <w:sz w:val="21"/>
                <w:szCs w:val="21"/>
              </w:rPr>
              <w:t xml:space="preserve">Dalam skenario tabrakan kapal di pembuka bab, negara mana saja yang memiliki dasar yurisdiksi? Jelaskan.</w:t>
            </w:r>
          </w:p>
          <w:p>
            <w:pPr>
              <w:pStyle w:val="ListParagraph"/>
              <w:numPr>
                <w:ilvl w:val="0"/>
                <w:numId w:val="12"/>
              </w:numPr>
              <w:spacing w:after="80" w:line="290"/>
              <w:jc w:val="left"/>
            </w:pPr>
            <w:r>
              <w:rPr>
                <w:sz w:val="21"/>
                <w:szCs w:val="21"/>
              </w:rPr>
              <w:t xml:space="preserve">Apakah yurisdiksi universal memberi hak pada negara mana pun untuk mengadili pemimpin negara lain? Bahas dengan Arrest Warrant.</w:t>
            </w:r>
          </w:p>
          <w:p>
            <w:pPr>
              <w:pStyle w:val="ListParagraph"/>
              <w:numPr>
                <w:ilvl w:val="0"/>
                <w:numId w:val="12"/>
              </w:numPr>
              <w:spacing w:after="80" w:line="290"/>
              <w:jc w:val="left"/>
            </w:pPr>
            <w:r>
              <w:rPr>
                <w:sz w:val="21"/>
                <w:szCs w:val="21"/>
              </w:rPr>
              <w:t xml:space="preserve">Mengapa banyak negara menolak menyerahkan warga negaranya lewat ekstradisi?</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Peta Yurisdiksi (25 menit).</w:t>
            </w:r>
            <w:r>
              <w:rPr>
                <w:sz w:val="21"/>
                <w:szCs w:val="21"/>
              </w:rPr>
              <w:t xml:space="preserve"> Dosen memberikan tiga skenario lintas batas: kejahatan siber, tabrakan kapal, dan penipuan investasi lintas negara. Kelompok menuliskan semua negara yang punya dasar yurisdiksi dan menjelaskan prinsip yang mendasarinya, lalu memilih negara yang paling patut mengadili.</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"Jelaskan lima prinsip yurisdiksi dengan satu contoh kasus Indonesia untuk masing-masing. Setelah itu, berikan satu skenario kompleks dengan banyak negara terlibat dan minta aku menentukan negara-negara yang berwenang beserta dasarnya. Nilai analisisku."</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J.G. Starke, </w:t>
      </w:r>
      <w:r>
        <w:rPr>
          <w:i/>
          <w:iCs/>
          <w:color w:val="595959"/>
          <w:sz w:val="20"/>
          <w:szCs w:val="20"/>
        </w:rPr>
        <w:t xml:space="preserve">Introduction to International Law</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(bab yurisdiksi dan imunitas); Boer Mauna, </w:t>
      </w:r>
      <w:r>
        <w:rPr>
          <w:i/>
          <w:iCs/>
          <w:color w:val="595959"/>
          <w:sz w:val="20"/>
          <w:szCs w:val="20"/>
        </w:rPr>
        <w:t xml:space="preserve">Hukum Internasional</w:t>
      </w:r>
      <w:r>
        <w:rPr>
          <w:color w:val="595959"/>
          <w:sz w:val="20"/>
          <w:szCs w:val="20"/>
        </w:rPr>
        <w:t xml:space="preserve">; Arman Anwar dkk. (2021).</w:t>
      </w:r>
    </w:p>
    <w:p>
      <w:pPr>
        <w:keepNext/>
        <w:pageBreakBefore/>
        <w:spacing w:after="60"/>
      </w:pPr>
      <w:r>
        <w:rPr>
          <w:rFonts w:ascii="Calibri" w:cs="Calibri" w:eastAsia="Calibri" w:hAnsi="Calibri"/>
          <w:b/>
          <w:bCs/>
          <w:color w:val="B8892B"/>
          <w:spacing w:val="60"/>
          <w:sz w:val="22"/>
          <w:szCs w:val="22"/>
        </w:rPr>
        <w:t xml:space="preserve">BAB 9   |   PERTEMUAN 10</w:t>
      </w:r>
    </w:p>
    <w:p>
      <w:pPr>
        <w:pStyle w:val="Heading1"/>
        <w:keepNext/>
        <w:pBdr>
          <w:bottom w:val="single" w:color="B8892B" w:sz="12" w:space="6"/>
        </w:pBdr>
        <w:spacing w:after="100"/>
      </w:pPr>
      <w:r>
        <w:t xml:space="preserve">Ketika Negara Berbuat Salah: Siapa Membayar?</w:t>
      </w:r>
    </w:p>
    <w:p>
      <w:pPr>
        <w:spacing w:after="200"/>
      </w:pPr>
      <w:r>
        <w:rPr>
          <w:rFonts w:ascii="Cambria" w:cs="Cambria" w:eastAsia="Cambria" w:hAnsi="Cambria"/>
          <w:i/>
          <w:iCs/>
          <w:color w:val="595959"/>
          <w:sz w:val="26"/>
          <w:szCs w:val="26"/>
        </w:rPr>
        <w:t xml:space="preserve">Tanggung Jawab Negara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Ranjau di Selat Corfu</w:t>
            </w:r>
          </w:p>
          <w:p>
            <w:pPr>
              <w:spacing w:after="80" w:before="0" w:line="290"/>
              <w:jc w:val="left"/>
            </w:pPr>
            <w:r>
              <w:rPr>
                <w:sz w:val="21"/>
                <w:szCs w:val="21"/>
              </w:rPr>
              <w:t xml:space="preserve">Oktober 1946. Dua kapal perang Inggris melintasi Selat Corfu, perairan sempit di antara Albania dan Yunani, ketika ranjau laut meledak. Empat puluh pelaut tewas dan puluhan lainnya luka. Siapa yang menanam ranjau itu? Kalau Albania tidak menanamnya sendiri, apakah ia tetap bersalah karena mengetahuinya dan tidak memperingatkan? Perkara </w:t>
            </w:r>
            <w:r>
              <w:rPr>
                <w:i/>
                <w:iCs/>
                <w:sz w:val="21"/>
                <w:szCs w:val="21"/>
              </w:rPr>
              <w:t xml:space="preserve">Corfu Channel</w:t>
            </w:r>
            <w:r>
              <w:rPr>
                <w:sz w:val="21"/>
                <w:szCs w:val="21"/>
              </w:rPr>
              <w:t xml:space="preserve"> (ICJ, 1949) menjadi salah satu kasus pertama ICJ dan menjadi pintu masuk kita ke pertanyaan paling mendasar: kapan sebuah negara harus bertanggung jawab?</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unsur-unsur perbuatan salah secara internasional;</w:t>
            </w:r>
          </w:p>
          <w:p>
            <w:pPr>
              <w:pStyle w:val="ListParagraph"/>
              <w:numPr>
                <w:ilvl w:val="0"/>
                <w:numId w:val="2"/>
              </w:numPr>
              <w:spacing w:after="80" w:line="290"/>
              <w:jc w:val="left"/>
            </w:pPr>
            <w:r>
              <w:rPr>
                <w:sz w:val="21"/>
                <w:szCs w:val="21"/>
              </w:rPr>
              <w:t xml:space="preserve">menguraikan aturan atribusi tindakan kepada negara;</w:t>
            </w:r>
          </w:p>
          <w:p>
            <w:pPr>
              <w:pStyle w:val="ListParagraph"/>
              <w:numPr>
                <w:ilvl w:val="0"/>
                <w:numId w:val="2"/>
              </w:numPr>
              <w:spacing w:after="80" w:line="290"/>
              <w:jc w:val="left"/>
            </w:pPr>
            <w:r>
              <w:rPr>
                <w:sz w:val="21"/>
                <w:szCs w:val="21"/>
              </w:rPr>
              <w:t xml:space="preserve">menjelaskan alasan pembenar, bentuk reparasi, dan tindakan balasan;</w:t>
            </w:r>
          </w:p>
          <w:p>
            <w:pPr>
              <w:pStyle w:val="ListParagraph"/>
              <w:numPr>
                <w:ilvl w:val="0"/>
                <w:numId w:val="2"/>
              </w:numPr>
              <w:spacing w:after="80" w:line="290"/>
              <w:jc w:val="left"/>
            </w:pPr>
            <w:r>
              <w:rPr>
                <w:sz w:val="21"/>
                <w:szCs w:val="21"/>
              </w:rPr>
              <w:t xml:space="preserve">menjelaskan perlindungan diplomatik dan menerapkan konsep tanggung jawab negara pada kasus.</w:t>
            </w:r>
          </w:p>
        </w:tc>
      </w:tr>
    </w:tbl>
    <w:p>
      <w:pPr>
        <w:spacing w:after="160" w:line="200"/>
      </w:pPr>
    </w:p>
    <w:p>
      <w:pPr>
        <w:pStyle w:val="Heading2"/>
        <w:keepNext/>
        <w:spacing w:after="120" w:before="280"/>
      </w:pPr>
      <w:r>
        <w:t xml:space="preserve">A. Fondasi: Pelanggaran Menimbulkan Tanggung Jawab</w:t>
      </w:r>
    </w:p>
    <w:p>
      <w:pPr>
        <w:spacing w:after="140" w:before="0" w:line="300"/>
        <w:jc w:val="both"/>
      </w:pPr>
      <w:r>
        <w:rPr>
          <w:sz w:val="22"/>
          <w:szCs w:val="22"/>
        </w:rPr>
        <w:t xml:space="preserve">Tanggung jawab negara (</w:t>
      </w:r>
      <w:r>
        <w:rPr>
          <w:i/>
          <w:iCs/>
          <w:sz w:val="22"/>
          <w:szCs w:val="22"/>
        </w:rPr>
        <w:t xml:space="preserve">state responsibility</w:t>
      </w:r>
      <w:r>
        <w:rPr>
          <w:sz w:val="22"/>
          <w:szCs w:val="22"/>
        </w:rPr>
        <w:t xml:space="preserve">) lahir dari prinsip sederhana: setiap pelanggaran kewajiban internasional menimbulkan kewajiban untuk memperbaikinya. Hukum ini sebagian besar dikodifikasi Komisi Hukum Internasional PBB (ILC) dalam </w:t>
      </w:r>
      <w:r>
        <w:rPr>
          <w:b/>
          <w:bCs/>
          <w:sz w:val="22"/>
          <w:szCs w:val="22"/>
        </w:rPr>
        <w:t xml:space="preserve">Articles on Responsibility of States for Internationally Wrongful Acts (ARSIWA) 2001</w:t>
      </w:r>
      <w:r>
        <w:rPr>
          <w:sz w:val="22"/>
          <w:szCs w:val="22"/>
        </w:rPr>
        <w:t xml:space="preserve">, yang oleh Majelis Umum PBB dicatat dan dirujuk luas oleh pengadilan sebagai cerminan hukum kebiasaan, meski bukan perjanjian.</w:t>
      </w:r>
    </w:p>
    <w:p>
      <w:pPr>
        <w:spacing w:after="140" w:before="0" w:line="300"/>
        <w:jc w:val="both"/>
      </w:pPr>
      <w:r>
        <w:rPr>
          <w:sz w:val="22"/>
          <w:szCs w:val="22"/>
        </w:rPr>
        <w:t xml:space="preserve">Menurut ARSIWA, suatu </w:t>
      </w:r>
      <w:r>
        <w:rPr>
          <w:b/>
          <w:bCs/>
          <w:sz w:val="22"/>
          <w:szCs w:val="22"/>
        </w:rPr>
        <w:t xml:space="preserve">perbuatan salah secara internasional</w:t>
      </w:r>
      <w:r>
        <w:rPr>
          <w:sz w:val="22"/>
          <w:szCs w:val="22"/>
        </w:rPr>
        <w:t xml:space="preserve"> memiliki dua unsur:</w:t>
      </w:r>
    </w:p>
    <w:p>
      <w:pPr>
        <w:pStyle w:val="ListParagraph"/>
        <w:numPr>
          <w:ilvl w:val="0"/>
          <w:numId w:val="13"/>
        </w:numPr>
        <w:spacing w:after="80" w:line="290"/>
        <w:jc w:val="left"/>
      </w:pPr>
      <w:r>
        <w:rPr>
          <w:b/>
          <w:bCs/>
          <w:sz w:val="22"/>
          <w:szCs w:val="22"/>
        </w:rPr>
        <w:t xml:space="preserve">Atribusi</w:t>
      </w:r>
      <w:r>
        <w:rPr>
          <w:sz w:val="22"/>
          <w:szCs w:val="22"/>
        </w:rPr>
        <w:t xml:space="preserve">: perbuatan atau kelalaian itu dapat dikaitkan (</w:t>
      </w:r>
      <w:r>
        <w:rPr>
          <w:i/>
          <w:iCs/>
          <w:sz w:val="22"/>
          <w:szCs w:val="22"/>
        </w:rPr>
        <w:t xml:space="preserve">attributable</w:t>
      </w:r>
      <w:r>
        <w:rPr>
          <w:sz w:val="22"/>
          <w:szCs w:val="22"/>
        </w:rPr>
        <w:t xml:space="preserve">) dengan negara menurut hukum internasional.</w:t>
      </w:r>
    </w:p>
    <w:p>
      <w:pPr>
        <w:pStyle w:val="ListParagraph"/>
        <w:numPr>
          <w:ilvl w:val="0"/>
          <w:numId w:val="13"/>
        </w:numPr>
        <w:spacing w:after="80" w:line="290"/>
        <w:jc w:val="left"/>
      </w:pPr>
      <w:r>
        <w:rPr>
          <w:b/>
          <w:bCs/>
          <w:sz w:val="22"/>
          <w:szCs w:val="22"/>
        </w:rPr>
        <w:t xml:space="preserve">Pelanggaran kewajiban internasional</w:t>
      </w:r>
      <w:r>
        <w:rPr>
          <w:sz w:val="22"/>
          <w:szCs w:val="22"/>
        </w:rPr>
        <w:t xml:space="preserve">: perbuatan itu tidak sesuai dengan kewajiban yang mengikat negara, apa pun sumbernya (perjanjian, kebiasaan, dan lain-lain).</w:t>
      </w:r>
    </w:p>
    <w:p>
      <w:pPr>
        <w:spacing w:after="80" w:line="200"/>
      </w:pPr>
    </w:p>
    <w:p>
      <w:pPr>
        <w:spacing w:after="140" w:before="0" w:line="300"/>
        <w:jc w:val="both"/>
      </w:pPr>
      <w:r>
        <w:rPr>
          <w:sz w:val="22"/>
          <w:szCs w:val="22"/>
        </w:rPr>
        <w:t xml:space="preserve">Perhatikan bahwa hukum internasional umumnya tidak mensyaratkan adanya "kesalahan" (niat jahat atau kelalaian) sebagai unsur umum, kecuali kewajiban primer tertentu menyaratkannya.</w:t>
      </w:r>
    </w:p>
    <w:p>
      <w:pPr>
        <w:pStyle w:val="Heading2"/>
        <w:keepNext/>
        <w:spacing w:after="120" w:before="280"/>
      </w:pPr>
      <w:r>
        <w:t xml:space="preserve">B. Kapan Perbuatan Dianggap Perbuatan Negara? (Atribusi)</w:t>
      </w:r>
    </w:p>
    <w:p>
      <w:pPr>
        <w:spacing w:after="140" w:before="0" w:line="300"/>
        <w:jc w:val="both"/>
      </w:pPr>
      <w:r>
        <w:rPr>
          <w:sz w:val="22"/>
          <w:szCs w:val="22"/>
        </w:rPr>
        <w:t xml:space="preserve">Negara bukan makhluk hidup yang berbuat, melainkan bertindak lewat manusia. Karena itu perlu aturan atribusi:</w:t>
      </w:r>
    </w:p>
    <w:p>
      <w:pPr>
        <w:pStyle w:val="ListParagraph"/>
        <w:numPr>
          <w:ilvl w:val="0"/>
          <w:numId w:val="2"/>
        </w:numPr>
        <w:spacing w:after="80" w:line="290"/>
        <w:jc w:val="left"/>
      </w:pPr>
      <w:r>
        <w:rPr>
          <w:b/>
          <w:bCs/>
          <w:sz w:val="22"/>
          <w:szCs w:val="22"/>
        </w:rPr>
        <w:t xml:space="preserve">Organ negara</w:t>
      </w:r>
      <w:r>
        <w:rPr>
          <w:sz w:val="22"/>
          <w:szCs w:val="22"/>
        </w:rPr>
        <w:t xml:space="preserve"> (Pasal 4): setiap organ, baik legislatif, eksekutif, yudikatif, di tingkat pusat maupun daerah. Ini termasuk tindakan di luar kewenangan (</w:t>
      </w:r>
      <w:r>
        <w:rPr>
          <w:i/>
          <w:iCs/>
          <w:sz w:val="22"/>
          <w:szCs w:val="22"/>
        </w:rPr>
        <w:t xml:space="preserve">ultra vires</w:t>
      </w:r>
      <w:r>
        <w:rPr>
          <w:sz w:val="22"/>
          <w:szCs w:val="22"/>
        </w:rPr>
        <w:t xml:space="preserve">) sepanjang pejabat bertindak dalam kapasitas resminya.</w:t>
      </w:r>
    </w:p>
    <w:p>
      <w:pPr>
        <w:pStyle w:val="ListParagraph"/>
        <w:numPr>
          <w:ilvl w:val="0"/>
          <w:numId w:val="2"/>
        </w:numPr>
        <w:spacing w:after="80" w:line="290"/>
        <w:jc w:val="left"/>
      </w:pPr>
      <w:r>
        <w:rPr>
          <w:b/>
          <w:bCs/>
          <w:sz w:val="22"/>
          <w:szCs w:val="22"/>
        </w:rPr>
        <w:t xml:space="preserve">Entitas yang menjalankan kewenangan pemerintahan</w:t>
      </w:r>
      <w:r>
        <w:rPr>
          <w:sz w:val="22"/>
          <w:szCs w:val="22"/>
        </w:rPr>
        <w:t xml:space="preserve"> (Pasal 5), misalnya perusahaan swasta yang diberi wewenang pemerintah.</w:t>
      </w:r>
    </w:p>
    <w:p>
      <w:pPr>
        <w:pStyle w:val="ListParagraph"/>
        <w:numPr>
          <w:ilvl w:val="0"/>
          <w:numId w:val="2"/>
        </w:numPr>
        <w:spacing w:after="80" w:line="290"/>
        <w:jc w:val="left"/>
      </w:pPr>
      <w:r>
        <w:rPr>
          <w:b/>
          <w:bCs/>
          <w:sz w:val="22"/>
          <w:szCs w:val="22"/>
        </w:rPr>
        <w:t xml:space="preserve">Tindakan di bawah arahan atau kendali negara</w:t>
      </w:r>
      <w:r>
        <w:rPr>
          <w:sz w:val="22"/>
          <w:szCs w:val="22"/>
        </w:rPr>
        <w:t xml:space="preserve"> (Pasal 8), yang dalam putusan </w:t>
      </w:r>
      <w:r>
        <w:rPr>
          <w:i/>
          <w:iCs/>
          <w:sz w:val="22"/>
          <w:szCs w:val="22"/>
        </w:rPr>
        <w:t xml:space="preserve">Nicaragua</w:t>
      </w:r>
      <w:r>
        <w:rPr>
          <w:sz w:val="22"/>
          <w:szCs w:val="22"/>
        </w:rPr>
        <w:t xml:space="preserve"> (1986) dan </w:t>
      </w:r>
      <w:r>
        <w:rPr>
          <w:i/>
          <w:iCs/>
          <w:sz w:val="22"/>
          <w:szCs w:val="22"/>
        </w:rPr>
        <w:t xml:space="preserve">Bosnia Genocide</w:t>
      </w:r>
      <w:r>
        <w:rPr>
          <w:sz w:val="22"/>
          <w:szCs w:val="22"/>
        </w:rPr>
        <w:t xml:space="preserve"> (2007) dinilai dengan ukuran kendali efektif.</w:t>
      </w:r>
    </w:p>
    <w:p>
      <w:pPr>
        <w:pStyle w:val="ListParagraph"/>
        <w:numPr>
          <w:ilvl w:val="0"/>
          <w:numId w:val="2"/>
        </w:numPr>
        <w:spacing w:after="80" w:line="290"/>
        <w:jc w:val="left"/>
      </w:pPr>
      <w:r>
        <w:rPr>
          <w:b/>
          <w:bCs/>
          <w:sz w:val="22"/>
          <w:szCs w:val="22"/>
        </w:rPr>
        <w:t xml:space="preserve">Pengakuan atau adopsi</w:t>
      </w:r>
      <w:r>
        <w:rPr>
          <w:sz w:val="22"/>
          <w:szCs w:val="22"/>
        </w:rPr>
        <w:t xml:space="preserve"> perbuatan pihak swasta oleh negara sebagai perbuatannya sendiri (Pasal 11).</w:t>
      </w:r>
    </w:p>
    <w:p>
      <w:pPr>
        <w:spacing w:after="80" w:line="200"/>
      </w:pPr>
    </w:p>
    <w:p>
      <w:pPr>
        <w:spacing w:after="140" w:before="0" w:line="300"/>
        <w:jc w:val="both"/>
      </w:pPr>
      <w:r>
        <w:rPr>
          <w:sz w:val="22"/>
          <w:szCs w:val="22"/>
        </w:rPr>
        <w:t xml:space="preserve">Sebaliknya, perbuatan individu swasta pada dasarnya bukan perbuatan negara. Namun negara bisa bertanggung jawab atas kegagalannya sendiri, misalnya tidak mencegah atau tidak menghukum pelaku (kewajiban </w:t>
      </w:r>
      <w:r>
        <w:rPr>
          <w:i/>
          <w:iCs/>
          <w:sz w:val="22"/>
          <w:szCs w:val="22"/>
        </w:rPr>
        <w:t xml:space="preserve">due diligence</w:t>
      </w:r>
      <w:r>
        <w:rPr>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Kasus: Corfu Channel (Inggris/Albania, 1949)</w:t>
            </w:r>
          </w:p>
          <w:p>
            <w:pPr>
              <w:spacing w:after="80" w:before="0" w:line="290"/>
              <w:jc w:val="left"/>
            </w:pPr>
            <w:r>
              <w:rPr>
                <w:sz w:val="21"/>
                <w:szCs w:val="21"/>
              </w:rPr>
              <w:t xml:space="preserve">ICJ tidak dapat memastikan siapa yang memasang ranjau. Namun Mahkamah menyimpulkan bahwa Albania mengetahui (atau seharusnya mengetahui) keberadaan ranjau di perairannya, dan karena itu wajib memberi peringatan. Albania juga dikenai tanggung jawab atas kelalaiannya. Putusan ini menegaskan prinsip bahwa setiap negara berkewajiban tidak membiarkan wilayahnya digunakan untuk tindakan yang merugikan hak negara lain.</w:t>
            </w:r>
          </w:p>
        </w:tc>
      </w:tr>
    </w:tbl>
    <w:p>
      <w:pPr>
        <w:spacing w:after="160" w:line="200"/>
      </w:pPr>
    </w:p>
    <w:p>
      <w:pPr>
        <w:pStyle w:val="Heading2"/>
        <w:keepNext/>
        <w:spacing w:after="120" w:before="280"/>
      </w:pPr>
      <w:r>
        <w:t xml:space="preserve">C. Alasan Pembenar: Kapan Pelanggaran Tidak Berujung Tanggung Jawab?</w:t>
      </w:r>
    </w:p>
    <w:p>
      <w:pPr>
        <w:spacing w:after="140" w:before="0" w:line="300"/>
        <w:jc w:val="both"/>
      </w:pPr>
      <w:r>
        <w:rPr>
          <w:sz w:val="22"/>
          <w:szCs w:val="22"/>
        </w:rPr>
        <w:t xml:space="preserve">ARSIWA (Bab V) mengenal keadaan yang meniadakan sifat melawan hukum suatu perbuatan, antara lain:</w:t>
      </w:r>
    </w:p>
    <w:p>
      <w:pPr>
        <w:pStyle w:val="ListParagraph"/>
        <w:numPr>
          <w:ilvl w:val="0"/>
          <w:numId w:val="2"/>
        </w:numPr>
        <w:spacing w:after="80" w:line="290"/>
        <w:jc w:val="left"/>
      </w:pPr>
      <w:r>
        <w:rPr>
          <w:b/>
          <w:bCs/>
          <w:sz w:val="22"/>
          <w:szCs w:val="22"/>
        </w:rPr>
        <w:t xml:space="preserve">Persetujuan</w:t>
      </w:r>
      <w:r>
        <w:rPr>
          <w:sz w:val="22"/>
          <w:szCs w:val="22"/>
        </w:rPr>
        <w:t xml:space="preserve"> negara yang terkena;</w:t>
      </w:r>
    </w:p>
    <w:p>
      <w:pPr>
        <w:pStyle w:val="ListParagraph"/>
        <w:numPr>
          <w:ilvl w:val="0"/>
          <w:numId w:val="2"/>
        </w:numPr>
        <w:spacing w:after="80" w:line="290"/>
        <w:jc w:val="left"/>
      </w:pPr>
      <w:r>
        <w:rPr>
          <w:b/>
          <w:bCs/>
          <w:sz w:val="22"/>
          <w:szCs w:val="22"/>
        </w:rPr>
        <w:t xml:space="preserve">Pembelaan diri</w:t>
      </w:r>
      <w:r>
        <w:rPr>
          <w:sz w:val="22"/>
          <w:szCs w:val="22"/>
        </w:rPr>
        <w:t xml:space="preserve"> yang sah sesuai Piagam PBB;</w:t>
      </w:r>
    </w:p>
    <w:p>
      <w:pPr>
        <w:pStyle w:val="ListParagraph"/>
        <w:numPr>
          <w:ilvl w:val="0"/>
          <w:numId w:val="2"/>
        </w:numPr>
        <w:spacing w:after="80" w:line="290"/>
        <w:jc w:val="left"/>
      </w:pPr>
      <w:r>
        <w:rPr>
          <w:b/>
          <w:bCs/>
          <w:sz w:val="22"/>
          <w:szCs w:val="22"/>
        </w:rPr>
        <w:t xml:space="preserve">Tindakan balasan</w:t>
      </w:r>
      <w:r>
        <w:rPr>
          <w:sz w:val="22"/>
          <w:szCs w:val="22"/>
        </w:rPr>
        <w:t xml:space="preserve"> (</w:t>
      </w:r>
      <w:r>
        <w:rPr>
          <w:i/>
          <w:iCs/>
          <w:sz w:val="22"/>
          <w:szCs w:val="22"/>
        </w:rPr>
        <w:t xml:space="preserve">countermeasures</w:t>
      </w:r>
      <w:r>
        <w:rPr>
          <w:sz w:val="22"/>
          <w:szCs w:val="22"/>
        </w:rPr>
        <w:t xml:space="preserve">) yang sah sebagai reaksi terhadap pelanggaran negara lain;</w:t>
      </w:r>
    </w:p>
    <w:p>
      <w:pPr>
        <w:pStyle w:val="ListParagraph"/>
        <w:numPr>
          <w:ilvl w:val="0"/>
          <w:numId w:val="2"/>
        </w:numPr>
        <w:spacing w:after="80" w:line="290"/>
        <w:jc w:val="left"/>
      </w:pPr>
      <w:r>
        <w:rPr>
          <w:b/>
          <w:bCs/>
          <w:i/>
          <w:iCs/>
          <w:sz w:val="22"/>
          <w:szCs w:val="22"/>
        </w:rPr>
        <w:t xml:space="preserve">Force majeure</w:t>
      </w:r>
      <w:r>
        <w:rPr>
          <w:sz w:val="22"/>
          <w:szCs w:val="22"/>
        </w:rPr>
        <w:t xml:space="preserve">: sesuatu di luar kendali negara yang membuat pelaksanaan kewajiban tidak mungkin;</w:t>
      </w:r>
    </w:p>
    <w:p>
      <w:pPr>
        <w:pStyle w:val="ListParagraph"/>
        <w:numPr>
          <w:ilvl w:val="0"/>
          <w:numId w:val="2"/>
        </w:numPr>
        <w:spacing w:after="80" w:line="290"/>
        <w:jc w:val="left"/>
      </w:pPr>
      <w:r>
        <w:rPr>
          <w:b/>
          <w:bCs/>
          <w:sz w:val="22"/>
          <w:szCs w:val="22"/>
        </w:rPr>
        <w:t xml:space="preserve">Keadaan darurat</w:t>
      </w:r>
      <w:r>
        <w:rPr>
          <w:sz w:val="22"/>
          <w:szCs w:val="22"/>
        </w:rPr>
        <w:t xml:space="preserve"> (</w:t>
      </w:r>
      <w:r>
        <w:rPr>
          <w:i/>
          <w:iCs/>
          <w:sz w:val="22"/>
          <w:szCs w:val="22"/>
        </w:rPr>
        <w:t xml:space="preserve">distress</w:t>
      </w:r>
      <w:r>
        <w:rPr>
          <w:sz w:val="22"/>
          <w:szCs w:val="22"/>
        </w:rPr>
        <w:t xml:space="preserve">) untuk menyelamatkan jiwa;</w:t>
      </w:r>
    </w:p>
    <w:p>
      <w:pPr>
        <w:pStyle w:val="ListParagraph"/>
        <w:numPr>
          <w:ilvl w:val="0"/>
          <w:numId w:val="2"/>
        </w:numPr>
        <w:spacing w:after="80" w:line="290"/>
        <w:jc w:val="left"/>
      </w:pPr>
      <w:r>
        <w:rPr>
          <w:b/>
          <w:bCs/>
          <w:sz w:val="22"/>
          <w:szCs w:val="22"/>
        </w:rPr>
        <w:t xml:space="preserve">Keadaan terpaksa</w:t>
      </w:r>
      <w:r>
        <w:rPr>
          <w:sz w:val="22"/>
          <w:szCs w:val="22"/>
        </w:rPr>
        <w:t xml:space="preserve"> (</w:t>
      </w:r>
      <w:r>
        <w:rPr>
          <w:i/>
          <w:iCs/>
          <w:sz w:val="22"/>
          <w:szCs w:val="22"/>
        </w:rPr>
        <w:t xml:space="preserve">necessity</w:t>
      </w:r>
      <w:r>
        <w:rPr>
          <w:sz w:val="22"/>
          <w:szCs w:val="22"/>
        </w:rPr>
        <w:t xml:space="preserve">), yang berlaku sangat terbatas dan tidak dapat digunakan bila mengabaikan kepentingan mendasar negara lain.</w:t>
      </w:r>
    </w:p>
    <w:p>
      <w:pPr>
        <w:spacing w:after="80" w:line="200"/>
      </w:pPr>
    </w:p>
    <w:p>
      <w:pPr>
        <w:spacing w:after="140" w:before="0" w:line="300"/>
        <w:jc w:val="both"/>
      </w:pPr>
      <w:r>
        <w:rPr>
          <w:sz w:val="22"/>
          <w:szCs w:val="22"/>
        </w:rPr>
        <w:t xml:space="preserve">Batas mutlak: tidak ada alasan pembenar yang dapat membenarkan pelanggaran norma </w:t>
      </w:r>
      <w:r>
        <w:rPr>
          <w:i/>
          <w:iCs/>
          <w:sz w:val="22"/>
          <w:szCs w:val="22"/>
        </w:rPr>
        <w:t xml:space="preserve">jus cogens</w:t>
      </w:r>
      <w:r>
        <w:rPr>
          <w:sz w:val="22"/>
          <w:szCs w:val="22"/>
        </w:rPr>
        <w:t xml:space="preserve">.</w:t>
      </w:r>
    </w:p>
    <w:p>
      <w:pPr>
        <w:pStyle w:val="Heading2"/>
        <w:keepNext/>
        <w:spacing w:after="120" w:before="280"/>
      </w:pPr>
      <w:r>
        <w:t xml:space="preserve">D. Akibat Hukum: Kewajiban Mengakhiri dan Memperbaiki</w:t>
      </w:r>
    </w:p>
    <w:p>
      <w:pPr>
        <w:spacing w:after="140" w:before="0" w:line="300"/>
        <w:jc w:val="both"/>
      </w:pPr>
      <w:r>
        <w:rPr>
          <w:sz w:val="22"/>
          <w:szCs w:val="22"/>
        </w:rPr>
        <w:t xml:space="preserve">Negara yang bertanggung jawab wajib (1) menghentikan perbuatannya bila masih berlangsung dan memberi jaminan tidak akan mengulanginya, serta (2) melakukan </w:t>
      </w:r>
      <w:r>
        <w:rPr>
          <w:b/>
          <w:bCs/>
          <w:sz w:val="22"/>
          <w:szCs w:val="22"/>
        </w:rPr>
        <w:t xml:space="preserve">reparasi</w:t>
      </w:r>
      <w:r>
        <w:rPr>
          <w:sz w:val="22"/>
          <w:szCs w:val="22"/>
        </w:rPr>
        <w:t xml:space="preserve"> penuh. Putusan </w:t>
      </w:r>
      <w:r>
        <w:rPr>
          <w:i/>
          <w:iCs/>
          <w:sz w:val="22"/>
          <w:szCs w:val="22"/>
        </w:rPr>
        <w:t xml:space="preserve">Chorzów Factory</w:t>
      </w:r>
      <w:r>
        <w:rPr>
          <w:sz w:val="22"/>
          <w:szCs w:val="22"/>
        </w:rPr>
        <w:t xml:space="preserve"> (PCIJ, 1928) merumuskan prinsipnya: reparasi harus sedapat mungkin menghapus semua akibat perbuatan salah dan mengembalikan keadaan seperti sebelum pelanggaran.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600"/>
        <w:gridCol w:w="3226"/>
      </w:tblGrid>
      <w:tr>
        <w:trPr>
          <w:cantSplit/>
          <w:tblHeader/>
        </w:trPr>
        <w:tc>
          <w:tcPr>
            <w:tcW w:type="dxa" w:w="22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Bentuk Reparasi</w:t>
            </w:r>
          </w:p>
        </w:tc>
        <w:tc>
          <w:tcPr>
            <w:tcW w:type="dxa" w:w="36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Maksud</w:t>
            </w:r>
          </w:p>
        </w:tc>
        <w:tc>
          <w:tcPr>
            <w:tcW w:type="dxa" w:w="32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Contoh</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Restitusi</w:t>
            </w:r>
          </w:p>
        </w:tc>
        <w:tc>
          <w:tcPr>
            <w:tcW w:type="dxa" w:w="36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Mengembalikan keadaan semula</w:t>
            </w:r>
          </w:p>
        </w:tc>
        <w:tc>
          <w:tcPr>
            <w:tcW w:type="dxa" w:w="32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Mengembalikan wilayah, aset, atau orang yang ditahan</w:t>
            </w:r>
          </w:p>
        </w:tc>
      </w:tr>
      <w:tr>
        <w:trPr>
          <w:cantSplit/>
        </w:trPr>
        <w:tc>
          <w:tcPr>
            <w:tcW w:type="dxa" w:w="2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Kompensasi</w:t>
            </w:r>
          </w:p>
        </w:tc>
        <w:tc>
          <w:tcPr>
            <w:tcW w:type="dxa" w:w="36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Ganti rugi finansial atas kerugian yang dapat dinilai</w:t>
            </w:r>
          </w:p>
        </w:tc>
        <w:tc>
          <w:tcPr>
            <w:tcW w:type="dxa" w:w="32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Pembayaran atas kerusakan kapal dan korban jiwa</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Satisfaksi</w:t>
            </w:r>
          </w:p>
        </w:tc>
        <w:tc>
          <w:tcPr>
            <w:tcW w:type="dxa" w:w="36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Pemulihan atas kerugian non-material</w:t>
            </w:r>
          </w:p>
        </w:tc>
        <w:tc>
          <w:tcPr>
            <w:tcW w:type="dxa" w:w="32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Pengakuan pelanggaran, permintaan maaf, atau hukuman terhadap pelaku</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Kasus: Rainbow Warrior (Prancis/Selandia Baru, 1990)</w:t>
            </w:r>
          </w:p>
          <w:p>
            <w:pPr>
              <w:spacing w:after="80" w:before="0" w:line="290"/>
              <w:jc w:val="left"/>
            </w:pPr>
            <w:r>
              <w:rPr>
                <w:sz w:val="21"/>
                <w:szCs w:val="21"/>
              </w:rPr>
              <w:t xml:space="preserve">Pada 1985, agen intelijen Prancis meledakkan kapal Greenpeace, Rainbow Warrior, di pelabuhan Auckland, dan seorang fotografer tewas. Setelah sengketa diplomatik, Sekretaris Jenderal PBB menengahi pada 1986: Prancis meminta maaf dan membayar ganti rugi kepada Selandia Baru. Dalam sengketa lanjutan tentang dua agen yang dipulangkan lebih awal, tribunal arbitrase pada 1990 menyatakan Prancis melanggar kewajibannya dan menilai bahwa pernyataan pelanggaran itu sendiri merupakan bentuk satisfaksi. Kasus ini kerap dirujuk sebagai contoh satisfaksi dan reparasi non-finansial.</w:t>
            </w:r>
          </w:p>
        </w:tc>
      </w:tr>
    </w:tbl>
    <w:p>
      <w:pPr>
        <w:spacing w:after="160" w:line="200"/>
      </w:pPr>
    </w:p>
    <w:p>
      <w:pPr>
        <w:pStyle w:val="Heading2"/>
        <w:keepNext/>
        <w:spacing w:after="120" w:before="280"/>
      </w:pPr>
      <w:r>
        <w:t xml:space="preserve">E. Tindakan Balasan dan Tanggung Jawab Kolektif</w:t>
      </w:r>
    </w:p>
    <w:p>
      <w:pPr>
        <w:spacing w:after="140" w:before="0" w:line="300"/>
        <w:jc w:val="both"/>
      </w:pPr>
      <w:r>
        <w:rPr>
          <w:sz w:val="22"/>
          <w:szCs w:val="22"/>
        </w:rPr>
        <w:t xml:space="preserve">Negara yang menjadi korban dapat mengambil </w:t>
      </w:r>
      <w:r>
        <w:rPr>
          <w:b/>
          <w:bCs/>
          <w:sz w:val="22"/>
          <w:szCs w:val="22"/>
        </w:rPr>
        <w:t xml:space="preserve">tindakan balasan</w:t>
      </w:r>
      <w:r>
        <w:rPr>
          <w:sz w:val="22"/>
          <w:szCs w:val="22"/>
        </w:rPr>
        <w:t xml:space="preserve"> (</w:t>
      </w:r>
      <w:r>
        <w:rPr>
          <w:i/>
          <w:iCs/>
          <w:sz w:val="22"/>
          <w:szCs w:val="22"/>
        </w:rPr>
        <w:t xml:space="preserve">countermeasures</w:t>
      </w:r>
      <w:r>
        <w:rPr>
          <w:sz w:val="22"/>
          <w:szCs w:val="22"/>
        </w:rPr>
        <w:t xml:space="preserve">) yang proporsional untuk mendorong negara pelanggar menaati kewajibannya, dengan syarat tertentu: didahului tuntutan, dan tidak mempengaruhi kewajiban fundamental seperti larangan kekerasan dan HAM. Terhadap pelanggaran norma erga omnes, negara lain (bukan hanya korban langsung) berhak menuntut ketaatan, sebagaimana tercermin dalam Pasal 48 ARSIWA. Dalam perkara </w:t>
      </w:r>
      <w:r>
        <w:rPr>
          <w:i/>
          <w:iCs/>
          <w:sz w:val="22"/>
          <w:szCs w:val="22"/>
        </w:rPr>
        <w:t xml:space="preserve">Bosnia Genocide</w:t>
      </w:r>
      <w:r>
        <w:rPr>
          <w:sz w:val="22"/>
          <w:szCs w:val="22"/>
        </w:rPr>
        <w:t xml:space="preserve"> (2007), ICJ menyatakan Serbia melanggar kewajiban mencegah genosida di Srebrenica, sekalipun tidak terbukti bahwa Serbia sendiri melakukan genosida. Ini menunjukkan bahwa kewajiban dapat berupa kewajiban untuk </w:t>
      </w:r>
      <w:r>
        <w:rPr>
          <w:i/>
          <w:iCs/>
          <w:sz w:val="22"/>
          <w:szCs w:val="22"/>
        </w:rPr>
        <w:t xml:space="preserve">berupaya</w:t>
      </w:r>
      <w:r>
        <w:rPr>
          <w:sz w:val="22"/>
          <w:szCs w:val="22"/>
        </w:rPr>
        <w:t xml:space="preserve"> (</w:t>
      </w:r>
      <w:r>
        <w:rPr>
          <w:i/>
          <w:iCs/>
          <w:sz w:val="22"/>
          <w:szCs w:val="22"/>
        </w:rPr>
        <w:t xml:space="preserve">due diligence</w:t>
      </w:r>
      <w:r>
        <w:rPr>
          <w:sz w:val="22"/>
          <w:szCs w:val="22"/>
        </w:rPr>
        <w:t xml:space="preserve">), bukan sekadar menahan diri.</w:t>
      </w:r>
    </w:p>
    <w:p>
      <w:pPr>
        <w:pStyle w:val="Heading2"/>
        <w:keepNext/>
        <w:spacing w:after="120" w:before="280"/>
      </w:pPr>
      <w:r>
        <w:t xml:space="preserve">F. Perlindungan Diplomatik</w:t>
      </w:r>
    </w:p>
    <w:p>
      <w:pPr>
        <w:spacing w:after="140" w:before="0" w:line="300"/>
        <w:jc w:val="both"/>
      </w:pPr>
      <w:r>
        <w:rPr>
          <w:sz w:val="22"/>
          <w:szCs w:val="22"/>
        </w:rPr>
        <w:t xml:space="preserve">Bila warga negara atau badan hukum dirugikan oleh negara asing, negaranya dapat mengajukan klaim melalui </w:t>
      </w:r>
      <w:r>
        <w:rPr>
          <w:b/>
          <w:bCs/>
          <w:sz w:val="22"/>
          <w:szCs w:val="22"/>
        </w:rPr>
        <w:t xml:space="preserve">perlindungan diplomatik</w:t>
      </w:r>
      <w:r>
        <w:rPr>
          <w:sz w:val="22"/>
          <w:szCs w:val="22"/>
        </w:rPr>
        <w:t xml:space="preserve">. Syaratnya: (1) adanya kebangsaan yang efektif (</w:t>
      </w:r>
      <w:r>
        <w:rPr>
          <w:i/>
          <w:iCs/>
          <w:sz w:val="22"/>
          <w:szCs w:val="22"/>
        </w:rPr>
        <w:t xml:space="preserve">Nottebohm</w:t>
      </w:r>
      <w:r>
        <w:rPr>
          <w:sz w:val="22"/>
          <w:szCs w:val="22"/>
        </w:rPr>
        <w:t xml:space="preserve">, 1955, di mana ICJ mensyaratkan ikatan nyata antara individu dan negara), dan (2) telah ditempuhnya upaya hukum domestik (</w:t>
      </w:r>
      <w:r>
        <w:rPr>
          <w:i/>
          <w:iCs/>
          <w:sz w:val="22"/>
          <w:szCs w:val="22"/>
        </w:rPr>
        <w:t xml:space="preserve">exhaustion of local remedies</w:t>
      </w:r>
      <w:r>
        <w:rPr>
          <w:sz w:val="22"/>
          <w:szCs w:val="22"/>
        </w:rPr>
        <w:t xml:space="preserve">). Dengan klaim itu, negara bertindak atas haknya sendiri, sehingga negara punya diskresi apakah akan mengajukan klaim atau tidak.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Tahukah Kamu? Jejak Kasus Lingkungan Pertama</w:t>
            </w:r>
          </w:p>
          <w:p>
            <w:pPr>
              <w:spacing w:after="80" w:before="0" w:line="290"/>
              <w:jc w:val="left"/>
            </w:pPr>
            <w:r>
              <w:rPr>
                <w:sz w:val="21"/>
                <w:szCs w:val="21"/>
              </w:rPr>
              <w:t xml:space="preserve">Dalam arbitrase </w:t>
            </w:r>
            <w:r>
              <w:rPr>
                <w:i/>
                <w:iCs/>
                <w:sz w:val="21"/>
                <w:szCs w:val="21"/>
              </w:rPr>
              <w:t xml:space="preserve">Trail Smelter</w:t>
            </w:r>
            <w:r>
              <w:rPr>
                <w:sz w:val="21"/>
                <w:szCs w:val="21"/>
              </w:rPr>
              <w:t xml:space="preserve"> (Amerika Serikat/Kanada, 1941), sebuah pabrik peleburan logam di Kanada mengirim asap belerang ke wilayah Amerika Serikat dan merugikan petani. Tribunal menyatakan bahwa tidak ada negara yang berhak menggunakan wilayahnya sedemikian rupa sehingga menimbulkan kerugian serius di wilayah negara lain. Prinsip ini menjadi salah satu fondasi hukum lingkungan internasional yang akan kamu jumpai lagi di Bab 12.</w:t>
            </w:r>
          </w:p>
        </w:tc>
      </w:tr>
    </w:tbl>
    <w:p>
      <w:pPr>
        <w:spacing w:after="160" w:line="200"/>
      </w:pP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Perbuatan salah secara internasional memiliki dua unsur: atribusi kepada negara dan pelanggaran kewajiban internasional.</w:t>
            </w:r>
          </w:p>
          <w:p>
            <w:pPr>
              <w:pStyle w:val="ListParagraph"/>
              <w:numPr>
                <w:ilvl w:val="0"/>
                <w:numId w:val="2"/>
              </w:numPr>
              <w:spacing w:after="80" w:line="290"/>
              <w:jc w:val="left"/>
            </w:pPr>
            <w:r>
              <w:rPr>
                <w:sz w:val="21"/>
                <w:szCs w:val="21"/>
              </w:rPr>
              <w:t xml:space="preserve">Tindakan organ negara, entitas berwenang pemerintahan, dan pihak yang berada di bawah kendali negara dapat diatribusikan kepada negara.</w:t>
            </w:r>
          </w:p>
          <w:p>
            <w:pPr>
              <w:pStyle w:val="ListParagraph"/>
              <w:numPr>
                <w:ilvl w:val="0"/>
                <w:numId w:val="2"/>
              </w:numPr>
              <w:spacing w:after="80" w:line="290"/>
              <w:jc w:val="left"/>
            </w:pPr>
            <w:r>
              <w:rPr>
                <w:sz w:val="21"/>
                <w:szCs w:val="21"/>
              </w:rPr>
              <w:t xml:space="preserve">Alasan pembenar seperti persetujuan, pembelaan diri, dan force majeure dapat meniadakan sifat melawan hukum, tetapi tidak berlaku untuk jus cogens.</w:t>
            </w:r>
          </w:p>
          <w:p>
            <w:pPr>
              <w:pStyle w:val="ListParagraph"/>
              <w:numPr>
                <w:ilvl w:val="0"/>
                <w:numId w:val="2"/>
              </w:numPr>
              <w:spacing w:after="80" w:line="290"/>
              <w:jc w:val="left"/>
            </w:pPr>
            <w:r>
              <w:rPr>
                <w:sz w:val="21"/>
                <w:szCs w:val="21"/>
              </w:rPr>
              <w:t xml:space="preserve">Akibat hukum: berhenti, jaminan tidak berulang, dan reparasi berupa restitusi, kompensasi, dan satisfaksi.</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ARSIWA  •  atribusi  •  countermeasures  •  reparasi  •  Chorzów Factory  •  due diligence  •  perlindungan diplomatik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14"/>
              </w:numPr>
              <w:spacing w:after="80" w:line="290"/>
              <w:jc w:val="left"/>
            </w:pPr>
            <w:r>
              <w:rPr>
                <w:sz w:val="21"/>
                <w:szCs w:val="21"/>
              </w:rPr>
              <w:t xml:space="preserve">Apakah negara bertanggung jawab atas serangan siber yang dilakukan kelompok peretas swasta dari wilayahnya? Kapan atribusi dapat dilakukan?</w:t>
            </w:r>
          </w:p>
          <w:p>
            <w:pPr>
              <w:pStyle w:val="ListParagraph"/>
              <w:numPr>
                <w:ilvl w:val="0"/>
                <w:numId w:val="14"/>
              </w:numPr>
              <w:spacing w:after="80" w:line="290"/>
              <w:jc w:val="left"/>
            </w:pPr>
            <w:r>
              <w:rPr>
                <w:sz w:val="21"/>
                <w:szCs w:val="21"/>
              </w:rPr>
              <w:t xml:space="preserve">Bagaimana perbedaan restitusi, kompensasi, dan satisfaksi? Berikan contoh tiap bentuk.</w:t>
            </w:r>
          </w:p>
          <w:p>
            <w:pPr>
              <w:pStyle w:val="ListParagraph"/>
              <w:numPr>
                <w:ilvl w:val="0"/>
                <w:numId w:val="14"/>
              </w:numPr>
              <w:spacing w:after="80" w:line="290"/>
              <w:jc w:val="left"/>
            </w:pPr>
            <w:r>
              <w:rPr>
                <w:sz w:val="21"/>
                <w:szCs w:val="21"/>
              </w:rPr>
              <w:t xml:space="preserve">Apa itu syarat exhaustion of local remedies dan mengapa syarat itu penting dalam perlindungan diplomatik?</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Peradilan Semu (40 menit).</w:t>
            </w:r>
            <w:r>
              <w:rPr>
                <w:sz w:val="21"/>
                <w:szCs w:val="21"/>
              </w:rPr>
              <w:t xml:space="preserve"> Sebuah kapal tanker negara A tenggelam setelah menabrak ranjau di perairan negara B; negara B mengaku tidak memasangnya tetapi mengetahui keberadaannya. Kelas dibagi tiga kelompok: Penggugat (A), Tergugat (B), dan Majelis. Majelis memutus berdasarkan ARSIWA dan Corfu Channel, termasuk bentuk reparasi.</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"Buat skenario kasus tanggung jawab negara yang melibatkan pihak swasta (misalnya kontraktor militer atau peretas). Minta aku menganalisis apakah perbuatannya dapat diatribusikan kepada negara berdasarkan Pasal 4, 5, dan 8 ARSIWA. Setelah aku menjawab, bandingkan analisisku dengan analisis yang benar."</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(bab tanggung jawab negara); J.G. Starke, </w:t>
      </w:r>
      <w:r>
        <w:rPr>
          <w:i/>
          <w:iCs/>
          <w:color w:val="595959"/>
          <w:sz w:val="20"/>
          <w:szCs w:val="20"/>
        </w:rPr>
        <w:t xml:space="preserve">Introduction to International Law</w:t>
      </w:r>
      <w:r>
        <w:rPr>
          <w:color w:val="595959"/>
          <w:sz w:val="20"/>
          <w:szCs w:val="20"/>
        </w:rPr>
        <w:t xml:space="preserve">; Antonio Cassese, </w:t>
      </w:r>
      <w:r>
        <w:rPr>
          <w:i/>
          <w:iCs/>
          <w:color w:val="595959"/>
          <w:sz w:val="20"/>
          <w:szCs w:val="20"/>
        </w:rPr>
        <w:t xml:space="preserve">International Law</w:t>
      </w:r>
      <w:r>
        <w:rPr>
          <w:color w:val="595959"/>
          <w:sz w:val="20"/>
          <w:szCs w:val="20"/>
        </w:rPr>
        <w:t xml:space="preserve">; teks ARSIWA 2001 (ILC).</w:t>
      </w:r>
    </w:p>
    <w:p>
      <w:pPr>
        <w:keepNext/>
        <w:pageBreakBefore/>
        <w:spacing w:after="60"/>
      </w:pPr>
      <w:r>
        <w:rPr>
          <w:rFonts w:ascii="Calibri" w:cs="Calibri" w:eastAsia="Calibri" w:hAnsi="Calibri"/>
          <w:b/>
          <w:bCs/>
          <w:color w:val="B8892B"/>
          <w:spacing w:val="60"/>
          <w:sz w:val="22"/>
          <w:szCs w:val="22"/>
        </w:rPr>
        <w:t xml:space="preserve">BAB 10   |   PERTEMUAN 11</w:t>
      </w:r>
    </w:p>
    <w:p>
      <w:pPr>
        <w:pStyle w:val="Heading1"/>
        <w:keepNext/>
        <w:pBdr>
          <w:bottom w:val="single" w:color="B8892B" w:sz="12" w:space="6"/>
        </w:pBdr>
        <w:spacing w:after="100"/>
      </w:pPr>
      <w:r>
        <w:t xml:space="preserve">Jalan Damai Menyelesaikan Sengketa: Dari Meja Runding hingga Den Haag</w:t>
      </w:r>
    </w:p>
    <w:p>
      <w:pPr>
        <w:spacing w:after="200"/>
      </w:pPr>
      <w:r>
        <w:rPr>
          <w:rFonts w:ascii="Cambria" w:cs="Cambria" w:eastAsia="Cambria" w:hAnsi="Cambria"/>
          <w:i/>
          <w:iCs/>
          <w:color w:val="595959"/>
          <w:sz w:val="26"/>
          <w:szCs w:val="26"/>
        </w:rPr>
        <w:t xml:space="preserve">Penyelesaian Sengketa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Dua Pulau Kecil, Satu Sengketa Besar</w:t>
            </w:r>
          </w:p>
          <w:p>
            <w:pPr>
              <w:spacing w:after="80" w:before="0" w:line="290"/>
              <w:jc w:val="left"/>
            </w:pPr>
            <w:r>
              <w:rPr>
                <w:sz w:val="21"/>
                <w:szCs w:val="21"/>
              </w:rPr>
              <w:t xml:space="preserve">Sipadan dan Ligitan hanyalah dua pulau kecil di perairan timur Kalimantan. Sengketa antara Indonesia dan Malaysia atas keduanya berlangsung puluhan tahun dan berpotensi memicu konflik. Kedua negara memilih jalan yang berbeda dari peluru: mereka membawa perkara ke Mahkamah Internasional. Pilihan ini bukan kebetulan. Piagam PBB mewajibkan negara menyelesaikan sengketa dengan cara damai. Bab ini memperkenalkanmu pada seluruh "menu" penyelesaian damai dan kapan masing-masing cocok dipakai.</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kewajiban penyelesaian sengketa secara damai dan larangan penggunaan kekerasan;</w:t>
            </w:r>
          </w:p>
          <w:p>
            <w:pPr>
              <w:pStyle w:val="ListParagraph"/>
              <w:numPr>
                <w:ilvl w:val="0"/>
                <w:numId w:val="2"/>
              </w:numPr>
              <w:spacing w:after="80" w:line="290"/>
              <w:jc w:val="left"/>
            </w:pPr>
            <w:r>
              <w:rPr>
                <w:sz w:val="21"/>
                <w:szCs w:val="21"/>
              </w:rPr>
              <w:t xml:space="preserve">membedakan cara-cara diplomatik dan cara-cara hukum (yudisial dan arbitrase);</w:t>
            </w:r>
          </w:p>
          <w:p>
            <w:pPr>
              <w:pStyle w:val="ListParagraph"/>
              <w:numPr>
                <w:ilvl w:val="0"/>
                <w:numId w:val="2"/>
              </w:numPr>
              <w:spacing w:after="80" w:line="290"/>
              <w:jc w:val="left"/>
            </w:pPr>
            <w:r>
              <w:rPr>
                <w:sz w:val="21"/>
                <w:szCs w:val="21"/>
              </w:rPr>
              <w:t xml:space="preserve">menguraikan struktur, yurisdiksi, dan fungsi Mahkamah Internasional (ICJ);</w:t>
            </w:r>
          </w:p>
          <w:p>
            <w:pPr>
              <w:pStyle w:val="ListParagraph"/>
              <w:numPr>
                <w:ilvl w:val="0"/>
                <w:numId w:val="2"/>
              </w:numPr>
              <w:spacing w:after="80" w:line="290"/>
              <w:jc w:val="left"/>
            </w:pPr>
            <w:r>
              <w:rPr>
                <w:sz w:val="21"/>
                <w:szCs w:val="21"/>
              </w:rPr>
              <w:t xml:space="preserve">menganalisis putusan sengketa Sipadan-Ligitan dan sengketa Laut China Selatan sebagai studi kasus.</w:t>
            </w:r>
          </w:p>
        </w:tc>
      </w:tr>
    </w:tbl>
    <w:p>
      <w:pPr>
        <w:spacing w:after="160" w:line="200"/>
      </w:pPr>
    </w:p>
    <w:p>
      <w:pPr>
        <w:pStyle w:val="Heading2"/>
        <w:keepNext/>
        <w:spacing w:after="120" w:before="280"/>
      </w:pPr>
      <w:r>
        <w:t xml:space="preserve">A. Kewajiban Menyelesaikan Sengketa Secara Damai</w:t>
      </w:r>
    </w:p>
    <w:p>
      <w:pPr>
        <w:spacing w:after="140" w:before="0" w:line="300"/>
        <w:jc w:val="both"/>
      </w:pPr>
      <w:r>
        <w:rPr>
          <w:sz w:val="22"/>
          <w:szCs w:val="22"/>
        </w:rPr>
        <w:t xml:space="preserve">Pasal 2 ayat (3) Piagam PBB mewajibkan semua anggota menyelesaikan sengketa internasional dengan cara damai sehingga perdamaian, keamanan, dan keadilan tidak terancam. Ketentuan ini berpasangan dengan Pasal 2 ayat (4) yang melarang ancaman atau penggunaan kekerasan terhadap integritas wilayah atau kemerdekaan politik negara lain. Pasal 33 ayat (1) kemudian menyebutkan daftar cara damai yang dapat dipilih para pihak: </w:t>
      </w:r>
      <w:r>
        <w:rPr>
          <w:b/>
          <w:bCs/>
          <w:sz w:val="22"/>
          <w:szCs w:val="22"/>
        </w:rPr>
        <w:t xml:space="preserve">negosiasi, penyelidikan (enquiry), mediasi, konsiliasi, arbitrase, penyelesaian yudisial, penggunaan badan atau perjanjian regional, atau cara damai lain pilihan mereka sendiri</w:t>
      </w:r>
      <w:r>
        <w:rPr>
          <w:sz w:val="22"/>
          <w:szCs w:val="22"/>
        </w:rPr>
        <w:t xml:space="preserve">. Kata kuncinya adalah </w:t>
      </w:r>
      <w:r>
        <w:rPr>
          <w:i/>
          <w:iCs/>
          <w:sz w:val="22"/>
          <w:szCs w:val="22"/>
        </w:rPr>
        <w:t xml:space="preserve">pilihan bebas</w:t>
      </w:r>
      <w:r>
        <w:rPr>
          <w:sz w:val="22"/>
          <w:szCs w:val="22"/>
        </w:rPr>
        <w:t xml:space="preserve">: negara bebas memilih cara, tetapi tidak bebas memilih untuk tidak menyelesaikan secara damai.</w:t>
      </w:r>
    </w:p>
    <w:p>
      <w:pPr>
        <w:pStyle w:val="Heading2"/>
        <w:keepNext/>
        <w:spacing w:after="120" w:before="280"/>
      </w:pPr>
      <w:r>
        <w:t xml:space="preserve">B. Menu Penyelesaian Sengketa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4600"/>
        <w:gridCol w:w="2226"/>
      </w:tblGrid>
      <w:tr>
        <w:trPr>
          <w:cantSplit/>
          <w:tblHeader/>
        </w:trPr>
        <w:tc>
          <w:tcPr>
            <w:tcW w:type="dxa" w:w="22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Cara</w:t>
            </w:r>
          </w:p>
        </w:tc>
        <w:tc>
          <w:tcPr>
            <w:tcW w:type="dxa" w:w="46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Ciri Utama</w:t>
            </w:r>
          </w:p>
        </w:tc>
        <w:tc>
          <w:tcPr>
            <w:tcW w:type="dxa" w:w="22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Sifat Hasil</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Negosiasi</w:t>
            </w:r>
          </w:p>
        </w:tc>
        <w:tc>
          <w:tcPr>
            <w:tcW w:type="dxa" w:w="46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Perundingan langsung antar pihak; paling sering dipakai</w:t>
            </w:r>
          </w:p>
        </w:tc>
        <w:tc>
          <w:tcPr>
            <w:tcW w:type="dxa" w:w="22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Bergantung kesepakatan</w:t>
            </w:r>
          </w:p>
        </w:tc>
      </w:tr>
      <w:tr>
        <w:trPr>
          <w:cantSplit/>
        </w:trPr>
        <w:tc>
          <w:tcPr>
            <w:tcW w:type="dxa" w:w="2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Jasa baik (good offices)</w:t>
            </w:r>
          </w:p>
        </w:tc>
        <w:tc>
          <w:tcPr>
            <w:tcW w:type="dxa" w:w="46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Pihak ketiga memfasilitasi pertemuan tanpa ikut merumuskan solusi</w:t>
            </w:r>
          </w:p>
        </w:tc>
        <w:tc>
          <w:tcPr>
            <w:tcW w:type="dxa" w:w="22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Tidak mengikat</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Mediasi</w:t>
            </w:r>
          </w:p>
        </w:tc>
        <w:tc>
          <w:tcPr>
            <w:tcW w:type="dxa" w:w="46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Pihak ketiga aktif mengusulkan solusi</w:t>
            </w:r>
          </w:p>
        </w:tc>
        <w:tc>
          <w:tcPr>
            <w:tcW w:type="dxa" w:w="22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Tidak mengikat</w:t>
            </w:r>
          </w:p>
        </w:tc>
      </w:tr>
      <w:tr>
        <w:trPr>
          <w:cantSplit/>
        </w:trPr>
        <w:tc>
          <w:tcPr>
            <w:tcW w:type="dxa" w:w="2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Penyelidikan (inquiry)</w:t>
            </w:r>
          </w:p>
        </w:tc>
        <w:tc>
          <w:tcPr>
            <w:tcW w:type="dxa" w:w="46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Komisi menyelidiki fakta yang disengketakan</w:t>
            </w:r>
          </w:p>
        </w:tc>
        <w:tc>
          <w:tcPr>
            <w:tcW w:type="dxa" w:w="22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Laporan fakta</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Konsiliasi</w:t>
            </w:r>
          </w:p>
        </w:tc>
        <w:tc>
          <w:tcPr>
            <w:tcW w:type="dxa" w:w="46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Komisi menelaah fakta dan mengusulkan penyelesaian</w:t>
            </w:r>
          </w:p>
        </w:tc>
        <w:tc>
          <w:tcPr>
            <w:tcW w:type="dxa" w:w="22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Tidak mengikat</w:t>
            </w:r>
          </w:p>
        </w:tc>
      </w:tr>
      <w:tr>
        <w:trPr>
          <w:cantSplit/>
        </w:trPr>
        <w:tc>
          <w:tcPr>
            <w:tcW w:type="dxa" w:w="2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Arbitrase</w:t>
            </w:r>
          </w:p>
        </w:tc>
        <w:tc>
          <w:tcPr>
            <w:tcW w:type="dxa" w:w="46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Para pihak memilih arbiter dan hukum yang berlaku; PCA di Den Haag menyediakan kerangka</w:t>
            </w:r>
          </w:p>
        </w:tc>
        <w:tc>
          <w:tcPr>
            <w:tcW w:type="dxa" w:w="22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Mengikat</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Penyelesaian yudisial</w:t>
            </w:r>
          </w:p>
        </w:tc>
        <w:tc>
          <w:tcPr>
            <w:tcW w:type="dxa" w:w="46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Pengadilan tetap seperti ICJ, ITLOS, atau pengadilan HAM regional</w:t>
            </w:r>
          </w:p>
        </w:tc>
        <w:tc>
          <w:tcPr>
            <w:tcW w:type="dxa" w:w="22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Mengikat</w:t>
            </w:r>
          </w:p>
        </w:tc>
      </w:tr>
    </w:tbl>
    <w:p>
      <w:pPr>
        <w:spacing w:after="160" w:line="200"/>
      </w:pPr>
    </w:p>
    <w:p>
      <w:pPr>
        <w:spacing w:after="140" w:before="0" w:line="300"/>
        <w:jc w:val="both"/>
      </w:pPr>
      <w:r>
        <w:rPr>
          <w:sz w:val="22"/>
          <w:szCs w:val="22"/>
        </w:rPr>
        <w:t xml:space="preserve">Cara diplomatik menjaga hubungan baik dan fleksibel, tetapi bergantung pada kemauan para pihak. Cara hukum menghasilkan putusan mengikat dan berdasar hukum, tetapi membutuhkan persetujuan yurisdiksi dan menghadirkan risiko kalah. Karena itu, praktik terbaik biasanya memadukan keduanya.</w:t>
      </w:r>
    </w:p>
    <w:p>
      <w:pPr>
        <w:pStyle w:val="Heading2"/>
        <w:keepNext/>
        <w:spacing w:after="120" w:before="280"/>
      </w:pPr>
      <w:r>
        <w:t xml:space="preserve">C. Mahkamah Internasional (ICJ)</w:t>
      </w:r>
    </w:p>
    <w:p>
      <w:pPr>
        <w:spacing w:after="140" w:before="0" w:line="300"/>
        <w:jc w:val="both"/>
      </w:pPr>
      <w:r>
        <w:rPr>
          <w:sz w:val="22"/>
          <w:szCs w:val="22"/>
        </w:rPr>
        <w:t xml:space="preserve">ICJ adalah organ yudisial utama PBB, berkedudukan di Den Haag, Belanda. Beranggotakan 15 hakim yang dipilih Majelis Umum dan Dewan Keamanan untuk masa jabatan sembilan tahun, dan tidak boleh ada dua hakim dari kewarganegaraan yang sama. ICJ memiliki dua fungsi:</w:t>
      </w:r>
    </w:p>
    <w:p>
      <w:pPr>
        <w:pStyle w:val="ListParagraph"/>
        <w:numPr>
          <w:ilvl w:val="0"/>
          <w:numId w:val="2"/>
        </w:numPr>
        <w:spacing w:after="80" w:line="290"/>
        <w:jc w:val="left"/>
      </w:pPr>
      <w:r>
        <w:rPr>
          <w:b/>
          <w:bCs/>
          <w:sz w:val="22"/>
          <w:szCs w:val="22"/>
        </w:rPr>
        <w:t xml:space="preserve">Yurisdiksi contentious</w:t>
      </w:r>
      <w:r>
        <w:rPr>
          <w:sz w:val="22"/>
          <w:szCs w:val="22"/>
        </w:rPr>
        <w:t xml:space="preserve">: memutus sengketa antarnegara. Hanya negara yang dapat menjadi pihak, dan putusannya mengikat para pihak serta final.</w:t>
      </w:r>
    </w:p>
    <w:p>
      <w:pPr>
        <w:pStyle w:val="ListParagraph"/>
        <w:numPr>
          <w:ilvl w:val="0"/>
          <w:numId w:val="2"/>
        </w:numPr>
        <w:spacing w:after="80" w:line="290"/>
        <w:jc w:val="left"/>
      </w:pPr>
      <w:r>
        <w:rPr>
          <w:b/>
          <w:bCs/>
          <w:sz w:val="22"/>
          <w:szCs w:val="22"/>
        </w:rPr>
        <w:t xml:space="preserve">Yurisdiksi advisory</w:t>
      </w:r>
      <w:r>
        <w:rPr>
          <w:sz w:val="22"/>
          <w:szCs w:val="22"/>
        </w:rPr>
        <w:t xml:space="preserve">: memberi pendapat penasihat atas pertanyaan hukum yang diajukan organ PBB atau badan khusus yang diberi wewenang. Pendapat ini pada dasarnya tidak mengikat tetapi berwibawa.</w:t>
      </w:r>
    </w:p>
    <w:p>
      <w:pPr>
        <w:spacing w:after="80" w:line="200"/>
      </w:pPr>
    </w:p>
    <w:p>
      <w:pPr>
        <w:spacing w:after="140" w:before="0" w:line="300"/>
        <w:jc w:val="both"/>
      </w:pPr>
      <w:r>
        <w:rPr>
          <w:sz w:val="22"/>
          <w:szCs w:val="22"/>
        </w:rPr>
        <w:t xml:space="preserve">Kunci yurisdiksi contentious adalah </w:t>
      </w:r>
      <w:r>
        <w:rPr>
          <w:b/>
          <w:bCs/>
          <w:sz w:val="22"/>
          <w:szCs w:val="22"/>
        </w:rPr>
        <w:t xml:space="preserve">persetujuan</w:t>
      </w:r>
      <w:r>
        <w:rPr>
          <w:sz w:val="22"/>
          <w:szCs w:val="22"/>
        </w:rPr>
        <w:t xml:space="preserve">. Negara bisa memberikan persetujuan lewat (1) perjanjian khusus (</w:t>
      </w:r>
      <w:r>
        <w:rPr>
          <w:i/>
          <w:iCs/>
          <w:sz w:val="22"/>
          <w:szCs w:val="22"/>
        </w:rPr>
        <w:t xml:space="preserve">special agreement</w:t>
      </w:r>
      <w:r>
        <w:rPr>
          <w:sz w:val="22"/>
          <w:szCs w:val="22"/>
        </w:rPr>
        <w:t xml:space="preserve">) untuk perkara tertentu, (2) klausul kompromi dalam suatu perjanjian, atau (3) deklarasi penerimaan yurisdiksi wajib berdasarkan Pasal 36 ayat (2) Statuta ("optional clause"). Sebagian besar anggota PBB tidak membuat deklarasi tersebut, dan Indonesia pun belum menerima yurisdiksi wajib ICJ. Inilah alasan mengapa Indonesia dan Malaysia menyerahkan sengketa Sipadan-Ligitan lewat perjanjian khusus.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Kasus: Sipadan-Ligitan (Indonesia/Malaysia, 2002)</w:t>
            </w:r>
          </w:p>
          <w:p>
            <w:pPr>
              <w:spacing w:after="80" w:before="0" w:line="290"/>
              <w:jc w:val="left"/>
            </w:pPr>
            <w:r>
              <w:rPr>
                <w:sz w:val="21"/>
                <w:szCs w:val="21"/>
              </w:rPr>
              <w:t xml:space="preserve">Pada 1998, kedua negara mengajukan perkara secara bersama ke ICJ melalui perjanjian khusus. Indonesia mengandalkan Konvensi 1891 antara Inggris dan Belanda yang menetapkan garis batas, sedangkan Malaysia mengandalkan rangkaian kegiatan administrasi yang dilakukannya di pulau-pulau itu, seperti pengaturan pengumpulan telur penyu, pendirian mercusuar, dan pengelolaan cagar burung. Pada 17 Desember 2002, ICJ memutuskan dengan perbandingan suara 16 berbanding 1 bahwa kedaulatan dimiliki Malaysia, dengan bertumpu pada </w:t>
            </w:r>
            <w:r>
              <w:rPr>
                <w:i/>
                <w:iCs/>
                <w:sz w:val="21"/>
                <w:szCs w:val="21"/>
              </w:rPr>
              <w:t xml:space="preserve">effectivités</w:t>
            </w:r>
            <w:r>
              <w:rPr>
                <w:sz w:val="21"/>
                <w:szCs w:val="21"/>
              </w:rPr>
              <w:t xml:space="preserve"> (pelaksanaan kekuasaan negara secara nyata), bukan pada tafsir Konvensi 1891. Pelajaran bagi kita: dalam sengketa wilayah, bukti kehadiran dan pengelolaan yang konsisten sangat menentukan.</w:t>
            </w:r>
          </w:p>
        </w:tc>
      </w:tr>
    </w:tbl>
    <w:p>
      <w:pPr>
        <w:spacing w:after="160" w:line="200"/>
      </w:pPr>
    </w:p>
    <w:p>
      <w:pPr>
        <w:pStyle w:val="Heading2"/>
        <w:keepNext/>
        <w:spacing w:after="120" w:before="280"/>
      </w:pPr>
      <w:r>
        <w:t xml:space="preserve">D. Forum Lain yang Perlu Kamu Kenal</w:t>
      </w:r>
    </w:p>
    <w:p>
      <w:pPr>
        <w:pStyle w:val="ListParagraph"/>
        <w:numPr>
          <w:ilvl w:val="0"/>
          <w:numId w:val="2"/>
        </w:numPr>
        <w:spacing w:after="80" w:line="290"/>
        <w:jc w:val="left"/>
      </w:pPr>
      <w:r>
        <w:rPr>
          <w:b/>
          <w:bCs/>
          <w:sz w:val="22"/>
          <w:szCs w:val="22"/>
        </w:rPr>
        <w:t xml:space="preserve">Permanent Court of Arbitration (PCA)</w:t>
      </w:r>
      <w:r>
        <w:rPr>
          <w:sz w:val="22"/>
          <w:szCs w:val="22"/>
        </w:rPr>
        <w:t xml:space="preserve">, Den Haag: lembaga administratif arbitrase antarnegara dan sengketa lain.</w:t>
      </w:r>
    </w:p>
    <w:p>
      <w:pPr>
        <w:pStyle w:val="ListParagraph"/>
        <w:numPr>
          <w:ilvl w:val="0"/>
          <w:numId w:val="2"/>
        </w:numPr>
        <w:spacing w:after="80" w:line="290"/>
        <w:jc w:val="left"/>
      </w:pPr>
      <w:r>
        <w:rPr>
          <w:b/>
          <w:bCs/>
          <w:sz w:val="22"/>
          <w:szCs w:val="22"/>
        </w:rPr>
        <w:t xml:space="preserve">International Tribunal for the Law of the Sea (ITLOS)</w:t>
      </w:r>
      <w:r>
        <w:rPr>
          <w:sz w:val="22"/>
          <w:szCs w:val="22"/>
        </w:rPr>
        <w:t xml:space="preserve">, Hamburg: mengadili sengketa yang timbul dari UNCLOS.</w:t>
      </w:r>
    </w:p>
    <w:p>
      <w:pPr>
        <w:pStyle w:val="ListParagraph"/>
        <w:numPr>
          <w:ilvl w:val="0"/>
          <w:numId w:val="2"/>
        </w:numPr>
        <w:spacing w:after="80" w:line="290"/>
        <w:jc w:val="left"/>
      </w:pPr>
      <w:r>
        <w:rPr>
          <w:b/>
          <w:bCs/>
          <w:sz w:val="22"/>
          <w:szCs w:val="22"/>
        </w:rPr>
        <w:t xml:space="preserve">Sistem penyelesaian sengketa WTO</w:t>
      </w:r>
      <w:r>
        <w:rPr>
          <w:sz w:val="22"/>
          <w:szCs w:val="22"/>
        </w:rPr>
        <w:t xml:space="preserve"> (Dispute Settlement Body): sengketa dagang antaranggota; Indonesia beberapa kali menjadi pihak, misalnya dalam sengketa tentang larangan ekspor bijih nikel dan tentang kebijakan Uni Eropa terhadap minyak sawit.</w:t>
      </w:r>
    </w:p>
    <w:p>
      <w:pPr>
        <w:pStyle w:val="ListParagraph"/>
        <w:numPr>
          <w:ilvl w:val="0"/>
          <w:numId w:val="2"/>
        </w:numPr>
        <w:spacing w:after="80" w:line="290"/>
        <w:jc w:val="left"/>
      </w:pPr>
      <w:r>
        <w:rPr>
          <w:b/>
          <w:bCs/>
          <w:sz w:val="22"/>
          <w:szCs w:val="22"/>
        </w:rPr>
        <w:t xml:space="preserve">ICSID</w:t>
      </w:r>
      <w:r>
        <w:rPr>
          <w:sz w:val="22"/>
          <w:szCs w:val="22"/>
        </w:rPr>
        <w:t xml:space="preserve">: arbitrase antara investor asing dan negara tuan rumah.</w:t>
      </w:r>
    </w:p>
    <w:p>
      <w:pPr>
        <w:pStyle w:val="ListParagraph"/>
        <w:numPr>
          <w:ilvl w:val="0"/>
          <w:numId w:val="2"/>
        </w:numPr>
        <w:spacing w:after="80" w:line="290"/>
        <w:jc w:val="left"/>
      </w:pPr>
      <w:r>
        <w:rPr>
          <w:b/>
          <w:bCs/>
          <w:sz w:val="22"/>
          <w:szCs w:val="22"/>
        </w:rPr>
        <w:t xml:space="preserve">Pengadilan regional</w:t>
      </w:r>
      <w:r>
        <w:rPr>
          <w:sz w:val="22"/>
          <w:szCs w:val="22"/>
        </w:rPr>
        <w:t xml:space="preserve"> seperti Pengadilan HAM Eropa dan Pengadilan HAM Antar-Amerika.</w:t>
      </w:r>
    </w:p>
    <w:p>
      <w:pPr>
        <w:spacing w:after="8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Studi Lanjutan: Laut China Selatan (Filipina/Tiongkok, 2016)</w:t>
            </w:r>
          </w:p>
          <w:p>
            <w:pPr>
              <w:spacing w:after="80" w:before="0" w:line="290"/>
              <w:jc w:val="left"/>
            </w:pPr>
            <w:r>
              <w:rPr>
                <w:sz w:val="21"/>
                <w:szCs w:val="21"/>
              </w:rPr>
              <w:t xml:space="preserve">Filipina mengajukan arbitrase berdasarkan Lampiran VII UNCLOS terhadap klaim Tiongkok di Laut China Selatan. Tribunal yang dibentuk di bawah naungan PCA menyatakan pada 12 Juli 2016 bahwa klaim "hak bersejarah" Tiongkok atas sumber daya di dalam "sembilan garis putus-putus" tidak memiliki dasar hukum menurut UNCLOS, dan bahwa sejumlah fitur maritim tidak berhak atas ZEE. Tiongkok tidak berpartisipasi dan menolak putusan tersebut. Kasus ini memperlihatkan pertanyaan besar tentang efektivitas putusan ketika salah satu pihak menolak. Bagi Indonesia, isu ini relevan dengan perairan Natuna Utara, yang menjadi perhatian pemerintah kita.</w:t>
            </w:r>
          </w:p>
        </w:tc>
      </w:tr>
    </w:tbl>
    <w:p>
      <w:pPr>
        <w:spacing w:after="160" w:line="200"/>
      </w:pPr>
    </w:p>
    <w:p>
      <w:pPr>
        <w:pStyle w:val="Heading2"/>
        <w:keepNext/>
        <w:spacing w:after="120" w:before="280"/>
      </w:pPr>
      <w:r>
        <w:t xml:space="preserve">E. Tantangan: Ketika Hukum Bertemu Politik</w:t>
      </w:r>
    </w:p>
    <w:p>
      <w:pPr>
        <w:spacing w:after="140" w:before="0" w:line="300"/>
        <w:jc w:val="both"/>
      </w:pPr>
      <w:r>
        <w:rPr>
          <w:sz w:val="22"/>
          <w:szCs w:val="22"/>
        </w:rPr>
        <w:t xml:space="preserve">Dewan Keamanan PBB memiliki kewenangan menindaklanjuti kegagalan menaati putusan ICJ (Pasal 94 Piagam), tetapi hak veto anggota tetap dapat menghalanginya. Selain itu, ICJ hanya memutus perkara yang diserahkan kepadanya dengan persetujuan negara. Meski begitu, sebagian besar putusan ICJ dilaksanakan oleh para pihak. Ini kembali pada tema Bab 1: kekuatan hukum internasional sering lahir dari kepentingan bersama menjaga stabilitas.</w:t>
      </w: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Negara wajib menyelesaikan sengketa secara damai dan dilarang menggunakan kekerasan (Pasal 2(3), 2(4), dan 33 Piagam PBB).</w:t>
            </w:r>
          </w:p>
          <w:p>
            <w:pPr>
              <w:pStyle w:val="ListParagraph"/>
              <w:numPr>
                <w:ilvl w:val="0"/>
                <w:numId w:val="2"/>
              </w:numPr>
              <w:spacing w:after="80" w:line="290"/>
              <w:jc w:val="left"/>
            </w:pPr>
            <w:r>
              <w:rPr>
                <w:sz w:val="21"/>
                <w:szCs w:val="21"/>
              </w:rPr>
              <w:t xml:space="preserve">Cara diplomatik (negosiasi, jasa baik, mediasi, konsiliasi) tidak mengikat; arbitrase dan penyelesaian yudisial menghasilkan putusan mengikat.</w:t>
            </w:r>
          </w:p>
          <w:p>
            <w:pPr>
              <w:pStyle w:val="ListParagraph"/>
              <w:numPr>
                <w:ilvl w:val="0"/>
                <w:numId w:val="2"/>
              </w:numPr>
              <w:spacing w:after="80" w:line="290"/>
              <w:jc w:val="left"/>
            </w:pPr>
            <w:r>
              <w:rPr>
                <w:sz w:val="21"/>
                <w:szCs w:val="21"/>
              </w:rPr>
              <w:t xml:space="preserve">ICJ memiliki fungsi contentious dan advisory; yurisdiksinya bergantung pada persetujuan negara.</w:t>
            </w:r>
          </w:p>
          <w:p>
            <w:pPr>
              <w:pStyle w:val="ListParagraph"/>
              <w:numPr>
                <w:ilvl w:val="0"/>
                <w:numId w:val="2"/>
              </w:numPr>
              <w:spacing w:after="80" w:line="290"/>
              <w:jc w:val="left"/>
            </w:pPr>
            <w:r>
              <w:rPr>
                <w:sz w:val="21"/>
                <w:szCs w:val="21"/>
              </w:rPr>
              <w:t xml:space="preserve">Sipadan-Ligitan menunjukkan pentingnya effectivités; Laut China Selatan menunjukkan tantangan pelaksanaan putusan.</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Pasal 33 Piagam PBB  •  arbitrase  •  ICJ  •  yurisdiksi contentious  •  advisory opinion  •  special agreement  •  effectivités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15"/>
              </w:numPr>
              <w:spacing w:after="80" w:line="290"/>
              <w:jc w:val="left"/>
            </w:pPr>
            <w:r>
              <w:rPr>
                <w:sz w:val="21"/>
                <w:szCs w:val="21"/>
              </w:rPr>
              <w:t xml:space="preserve">Mengapa negara sering enggan menerima yurisdiksi wajib ICJ?</w:t>
            </w:r>
          </w:p>
          <w:p>
            <w:pPr>
              <w:pStyle w:val="ListParagraph"/>
              <w:numPr>
                <w:ilvl w:val="0"/>
                <w:numId w:val="15"/>
              </w:numPr>
              <w:spacing w:after="80" w:line="290"/>
              <w:jc w:val="left"/>
            </w:pPr>
            <w:r>
              <w:rPr>
                <w:sz w:val="21"/>
                <w:szCs w:val="21"/>
              </w:rPr>
              <w:t xml:space="preserve">Apa keunggulan dan kelemahan mediasi dibandingkan arbitrase?</w:t>
            </w:r>
          </w:p>
          <w:p>
            <w:pPr>
              <w:pStyle w:val="ListParagraph"/>
              <w:numPr>
                <w:ilvl w:val="0"/>
                <w:numId w:val="15"/>
              </w:numPr>
              <w:spacing w:after="80" w:line="290"/>
              <w:jc w:val="left"/>
            </w:pPr>
            <w:r>
              <w:rPr>
                <w:sz w:val="21"/>
                <w:szCs w:val="21"/>
              </w:rPr>
              <w:t xml:space="preserve">Apa pelajaran dari kekalahan Indonesia dalam Sipadan-Ligitan bagi kebijakan pengelolaan pulau terluar Indonesia?</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Sidang ICJ Mini (45 menit).</w:t>
            </w:r>
            <w:r>
              <w:rPr>
                <w:sz w:val="21"/>
                <w:szCs w:val="21"/>
              </w:rPr>
              <w:t xml:space="preserve"> Kelompok menjadi tim Indonesia, tim Malaysia, dan majelis hakim. Tim membaca ringkasan fakta Sipadan-Ligitan, menyusun argumen tertulis satu halaman, kemudian menyampaikan pledoi lisan lima menit. Majelis memutus dan menjelaskan alasannya. Bandingkan putusan kelas dengan putusan ICJ yang sesungguhnya.</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"Aku ingin memahami Sipadan-Ligitan. Ringkas argumen kedua pihak dalam tabel (dasar hukum, bukti, kekuatan, kelemahan). Setelah itu, berperanlah sebagai hakim ICJ yang bertanya kritis kepadaku tentang argumen Indonesia, dan nilai jawabanku. Ingatkan aku untuk memeriksa putusan aslinya di situs resmi ICJ."</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(bab penyelesaian sengketa); Boer Mauna, </w:t>
      </w:r>
      <w:r>
        <w:rPr>
          <w:i/>
          <w:iCs/>
          <w:color w:val="595959"/>
          <w:sz w:val="20"/>
          <w:szCs w:val="20"/>
        </w:rPr>
        <w:t xml:space="preserve">Hukum Internasional</w:t>
      </w:r>
      <w:r>
        <w:rPr>
          <w:color w:val="595959"/>
          <w:sz w:val="20"/>
          <w:szCs w:val="20"/>
        </w:rPr>
        <w:t xml:space="preserve">; Mochtar Kusumaatmadja, </w:t>
      </w:r>
      <w:r>
        <w:rPr>
          <w:i/>
          <w:iCs/>
          <w:color w:val="595959"/>
          <w:sz w:val="20"/>
          <w:szCs w:val="20"/>
        </w:rPr>
        <w:t xml:space="preserve">Pengantar Hukum Internasional</w:t>
      </w:r>
      <w:r>
        <w:rPr>
          <w:color w:val="595959"/>
          <w:sz w:val="20"/>
          <w:szCs w:val="20"/>
        </w:rPr>
        <w:t xml:space="preserve">; Statuta ICJ dan Piagam PBB (Bab VI).</w:t>
      </w:r>
    </w:p>
    <w:p>
      <w:pPr>
        <w:keepNext/>
        <w:pageBreakBefore/>
        <w:spacing w:after="60"/>
      </w:pPr>
      <w:r>
        <w:rPr>
          <w:rFonts w:ascii="Calibri" w:cs="Calibri" w:eastAsia="Calibri" w:hAnsi="Calibri"/>
          <w:b/>
          <w:bCs/>
          <w:color w:val="B8892B"/>
          <w:spacing w:val="60"/>
          <w:sz w:val="22"/>
          <w:szCs w:val="22"/>
        </w:rPr>
        <w:t xml:space="preserve">BAB 11   |   PERTEMUAN 12</w:t>
      </w:r>
    </w:p>
    <w:p>
      <w:pPr>
        <w:pStyle w:val="Heading1"/>
        <w:keepNext/>
        <w:pBdr>
          <w:bottom w:val="single" w:color="B8892B" w:sz="12" w:space="6"/>
        </w:pBdr>
        <w:spacing w:after="100"/>
      </w:pPr>
      <w:r>
        <w:t xml:space="preserve">Konstitusi Samudra: Dari Laut Teritorial hingga Dasar Laut Dunia</w:t>
      </w:r>
    </w:p>
    <w:p>
      <w:pPr>
        <w:spacing w:after="200"/>
      </w:pPr>
      <w:r>
        <w:rPr>
          <w:rFonts w:ascii="Cambria" w:cs="Cambria" w:eastAsia="Cambria" w:hAnsi="Cambria"/>
          <w:i/>
          <w:iCs/>
          <w:color w:val="595959"/>
          <w:sz w:val="26"/>
          <w:szCs w:val="26"/>
        </w:rPr>
        <w:t xml:space="preserve">Hukum Laut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Selat Sempit yang Menentukan Ekonomi Dunia</w:t>
            </w:r>
          </w:p>
          <w:p>
            <w:pPr>
              <w:spacing w:after="80" w:before="0" w:line="290"/>
              <w:jc w:val="left"/>
            </w:pPr>
            <w:r>
              <w:rPr>
                <w:sz w:val="21"/>
                <w:szCs w:val="21"/>
              </w:rPr>
              <w:t xml:space="preserve">Dari Pekanbaru, lautan tampak jauh. Namun tak jauh dari Riau terbentang Selat Malaka, salah satu jalur pelayaran tersibuk di dunia. Kapal-kapal tanker dari Timur Tengah menuju Asia Timur melewatinya setiap hari. Selat sesempit itu diatur oleh hukum internasional: siapa yang berwenang, apa hak kapal asing, dan apa kewajiban negara pantai. Semua jawabannya bermuara pada satu perjanjian raksasa: Konvensi Perserikatan Bangsa-Bangsa tentang Hukum Laut (UNCLOS) 1982.</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perkembangan hukum laut dan peran UNCLOS 1982;</w:t>
            </w:r>
          </w:p>
          <w:p>
            <w:pPr>
              <w:pStyle w:val="ListParagraph"/>
              <w:numPr>
                <w:ilvl w:val="0"/>
                <w:numId w:val="2"/>
              </w:numPr>
              <w:spacing w:after="80" w:line="290"/>
              <w:jc w:val="left"/>
            </w:pPr>
            <w:r>
              <w:rPr>
                <w:sz w:val="21"/>
                <w:szCs w:val="21"/>
              </w:rPr>
              <w:t xml:space="preserve">menguraikan pembagian zona maritim beserta hak dan kewajiban negara di tiap zona;</w:t>
            </w:r>
          </w:p>
          <w:p>
            <w:pPr>
              <w:pStyle w:val="ListParagraph"/>
              <w:numPr>
                <w:ilvl w:val="0"/>
                <w:numId w:val="2"/>
              </w:numPr>
              <w:spacing w:after="80" w:line="290"/>
              <w:jc w:val="left"/>
            </w:pPr>
            <w:r>
              <w:rPr>
                <w:sz w:val="21"/>
                <w:szCs w:val="21"/>
              </w:rPr>
              <w:t xml:space="preserve">menjelaskan rezim negara kepulauan dan hak lintas di laut;</w:t>
            </w:r>
          </w:p>
          <w:p>
            <w:pPr>
              <w:pStyle w:val="ListParagraph"/>
              <w:numPr>
                <w:ilvl w:val="0"/>
                <w:numId w:val="2"/>
              </w:numPr>
              <w:spacing w:after="80" w:line="290"/>
              <w:jc w:val="left"/>
            </w:pPr>
            <w:r>
              <w:rPr>
                <w:sz w:val="21"/>
                <w:szCs w:val="21"/>
              </w:rPr>
              <w:t xml:space="preserve">menganalisis kepentingan Indonesia terkait laut, termasuk Alur Laut Kepulauan Indonesia (ALKI) dan Natuna.</w:t>
            </w:r>
          </w:p>
        </w:tc>
      </w:tr>
    </w:tbl>
    <w:p>
      <w:pPr>
        <w:spacing w:after="160" w:line="200"/>
      </w:pPr>
    </w:p>
    <w:p>
      <w:pPr>
        <w:pStyle w:val="Heading2"/>
        <w:keepNext/>
        <w:spacing w:after="120" w:before="280"/>
      </w:pPr>
      <w:r>
        <w:t xml:space="preserve">A. Dari Mare Liberum ke UNCLOS</w:t>
      </w:r>
    </w:p>
    <w:p>
      <w:pPr>
        <w:spacing w:after="140" w:before="0" w:line="300"/>
        <w:jc w:val="both"/>
      </w:pPr>
      <w:r>
        <w:rPr>
          <w:sz w:val="22"/>
          <w:szCs w:val="22"/>
        </w:rPr>
        <w:t xml:space="preserve">Perdebatan laut bebas atau laut tertutup sudah berlangsung lama. Grotius dengan </w:t>
      </w:r>
      <w:r>
        <w:rPr>
          <w:i/>
          <w:iCs/>
          <w:sz w:val="22"/>
          <w:szCs w:val="22"/>
        </w:rPr>
        <w:t xml:space="preserve">Mare Liberum</w:t>
      </w:r>
      <w:r>
        <w:rPr>
          <w:sz w:val="22"/>
          <w:szCs w:val="22"/>
        </w:rPr>
        <w:t xml:space="preserve"> (1609) membela kebebasan laut, sementara John Selden dengan </w:t>
      </w:r>
      <w:r>
        <w:rPr>
          <w:i/>
          <w:iCs/>
          <w:sz w:val="22"/>
          <w:szCs w:val="22"/>
        </w:rPr>
        <w:t xml:space="preserve">Mare Clausum</w:t>
      </w:r>
      <w:r>
        <w:rPr>
          <w:sz w:val="22"/>
          <w:szCs w:val="22"/>
        </w:rPr>
        <w:t xml:space="preserve"> mendukung penguasaan laut. Pada abad ke-20, ketegangan meningkat: negara-negara pantai menuntut wilayah dan sumber daya lebih luas, negara-negara maritim mempertahankan kebebasan berlayar. Konferensi PBB tentang Hukum Laut (UNCLOS I 1958, II 1960, III 1973-1982) akhirnya melahirkan </w:t>
      </w:r>
      <w:r>
        <w:rPr>
          <w:b/>
          <w:bCs/>
          <w:sz w:val="22"/>
          <w:szCs w:val="22"/>
        </w:rPr>
        <w:t xml:space="preserve">UNCLOS 1982</w:t>
      </w:r>
      <w:r>
        <w:rPr>
          <w:sz w:val="22"/>
          <w:szCs w:val="22"/>
        </w:rPr>
        <w:t xml:space="preserve">, ditandatangani di Montego Bay, Jamaika, pada 10 Desember 1982 dan berlaku pada 16 November 1994. Ia sering dijuluki "konstitusi lautan" karena cakupannya yang menyeluruh. Indonesia meratifikasinya dengan UU No. 17 Tahun 1985.</w:t>
      </w:r>
    </w:p>
    <w:p>
      <w:pPr>
        <w:pStyle w:val="Heading2"/>
        <w:keepNext/>
        <w:spacing w:after="120" w:before="280"/>
      </w:pPr>
      <w:r>
        <w:t xml:space="preserve">B. Peta Zona Maritim</w:t>
      </w:r>
    </w:p>
    <w:p>
      <w:pPr>
        <w:spacing w:after="140" w:before="0" w:line="300"/>
        <w:jc w:val="both"/>
      </w:pPr>
      <w:r>
        <w:rPr>
          <w:sz w:val="22"/>
          <w:szCs w:val="22"/>
        </w:rPr>
        <w:t xml:space="preserve">UNCLOS membagi laut ke dalam zona dengan tingkat kedaulatan yang menurun seiring jarak dari pantai. Jarak diukur dari garis pangkal (</w:t>
      </w:r>
      <w:r>
        <w:rPr>
          <w:i/>
          <w:iCs/>
          <w:sz w:val="22"/>
          <w:szCs w:val="22"/>
        </w:rPr>
        <w:t xml:space="preserve">baseline</w:t>
      </w:r>
      <w:r>
        <w:rPr>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1800"/>
        <w:gridCol w:w="5026"/>
      </w:tblGrid>
      <w:tr>
        <w:trPr>
          <w:cantSplit/>
          <w:tblHeader/>
        </w:trPr>
        <w:tc>
          <w:tcPr>
            <w:tcW w:type="dxa" w:w="22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Zona</w:t>
            </w:r>
          </w:p>
        </w:tc>
        <w:tc>
          <w:tcPr>
            <w:tcW w:type="dxa" w:w="18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Lebar Maksimum</w:t>
            </w:r>
          </w:p>
        </w:tc>
        <w:tc>
          <w:tcPr>
            <w:tcW w:type="dxa" w:w="50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Status dan Hak Negara Pantai</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Perairan pedalaman</w:t>
            </w:r>
          </w:p>
        </w:tc>
        <w:tc>
          <w:tcPr>
            <w:tcW w:type="dxa" w:w="18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Sisi darat garis pangkal</w:t>
            </w:r>
          </w:p>
        </w:tc>
        <w:tc>
          <w:tcPr>
            <w:tcW w:type="dxa" w:w="5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Kedaulatan penuh; tidak ada hak lintas damai</w:t>
            </w:r>
          </w:p>
        </w:tc>
      </w:tr>
      <w:tr>
        <w:trPr>
          <w:cantSplit/>
        </w:trPr>
        <w:tc>
          <w:tcPr>
            <w:tcW w:type="dxa" w:w="2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Laut teritorial</w:t>
            </w:r>
          </w:p>
        </w:tc>
        <w:tc>
          <w:tcPr>
            <w:tcW w:type="dxa" w:w="18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12 mil laut</w:t>
            </w:r>
          </w:p>
        </w:tc>
        <w:tc>
          <w:tcPr>
            <w:tcW w:type="dxa" w:w="5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Kedaulatan negara pantai, dengan hak lintas damai kapal asing</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Zona tambahan</w:t>
            </w:r>
          </w:p>
        </w:tc>
        <w:tc>
          <w:tcPr>
            <w:tcW w:type="dxa" w:w="18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24 mil laut</w:t>
            </w:r>
          </w:p>
        </w:tc>
        <w:tc>
          <w:tcPr>
            <w:tcW w:type="dxa" w:w="5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Pengawasan bea cukai, imigrasi, fiskal, dan saniter</w:t>
            </w:r>
          </w:p>
        </w:tc>
      </w:tr>
      <w:tr>
        <w:trPr>
          <w:cantSplit/>
        </w:trPr>
        <w:tc>
          <w:tcPr>
            <w:tcW w:type="dxa" w:w="2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Zona Ekonomi Eksklusif (ZEE)</w:t>
            </w:r>
          </w:p>
        </w:tc>
        <w:tc>
          <w:tcPr>
            <w:tcW w:type="dxa" w:w="18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200 mil laut</w:t>
            </w:r>
          </w:p>
        </w:tc>
        <w:tc>
          <w:tcPr>
            <w:tcW w:type="dxa" w:w="5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Hak berdaulat atas sumber daya alam dan yurisdiksi tertentu; kebebasan pelayaran dan penerbangan bagi negara lain</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Landas kontinen</w:t>
            </w:r>
          </w:p>
        </w:tc>
        <w:tc>
          <w:tcPr>
            <w:tcW w:type="dxa" w:w="18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Umumnya 200 mil; dapat lebih jauh hingga batas tertentu</w:t>
            </w:r>
          </w:p>
        </w:tc>
        <w:tc>
          <w:tcPr>
            <w:tcW w:type="dxa" w:w="5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Hak berdaulat atas sumber daya dasar laut dan tanah di bawahnya</w:t>
            </w:r>
          </w:p>
        </w:tc>
      </w:tr>
      <w:tr>
        <w:trPr>
          <w:cantSplit/>
        </w:trPr>
        <w:tc>
          <w:tcPr>
            <w:tcW w:type="dxa" w:w="22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Laut lepas</w:t>
            </w:r>
          </w:p>
        </w:tc>
        <w:tc>
          <w:tcPr>
            <w:tcW w:type="dxa" w:w="18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Di luar yurisdiksi nasional</w:t>
            </w:r>
          </w:p>
        </w:tc>
        <w:tc>
          <w:tcPr>
            <w:tcW w:type="dxa" w:w="50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Bebas bagi semua negara: pelayaran, penerbangan, penangkapan ikan, penelitian, pemasangan kabel</w:t>
            </w:r>
          </w:p>
        </w:tc>
      </w:tr>
      <w:tr>
        <w:trPr>
          <w:cantSplit/>
        </w:trPr>
        <w:tc>
          <w:tcPr>
            <w:tcW w:type="dxa" w:w="22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Kawasan (Area)</w:t>
            </w:r>
          </w:p>
        </w:tc>
        <w:tc>
          <w:tcPr>
            <w:tcW w:type="dxa" w:w="18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Dasar laut internasional</w:t>
            </w:r>
          </w:p>
        </w:tc>
        <w:tc>
          <w:tcPr>
            <w:tcW w:type="dxa" w:w="50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Warisan bersama umat manusia (common heritage of mankind), dikelola International Seabed Authority (ISA)</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Tahukah Kamu? Warisan Bersama Umat Manusia</w:t>
            </w:r>
          </w:p>
          <w:p>
            <w:pPr>
              <w:spacing w:after="80" w:before="0" w:line="290"/>
              <w:jc w:val="left"/>
            </w:pPr>
            <w:r>
              <w:rPr>
                <w:sz w:val="21"/>
                <w:szCs w:val="21"/>
              </w:rPr>
              <w:t xml:space="preserve">Mineral di dasar laut dalam, seperti nodul polimetalik, dianggap milik seluruh umat manusia. Tidak ada negara yang boleh mengklaimnya. Pemanfaatannya diatur dan diawasi ISA yang berpusat di Kingston, Jamaika. Gagasan revolusioner ini muncul dari usulan Duta Besar Malta, Arvid Pardo, di depan Majelis Umum PBB pada 1967.</w:t>
            </w:r>
          </w:p>
        </w:tc>
      </w:tr>
    </w:tbl>
    <w:p>
      <w:pPr>
        <w:spacing w:after="160" w:line="200"/>
      </w:pPr>
    </w:p>
    <w:p>
      <w:pPr>
        <w:pStyle w:val="Heading2"/>
        <w:keepNext/>
        <w:spacing w:after="120" w:before="280"/>
      </w:pPr>
      <w:r>
        <w:t xml:space="preserve">C. Hak Lintas: Bagaimana Kapal Asing Melewati Perairan?</w:t>
      </w:r>
    </w:p>
    <w:p>
      <w:pPr>
        <w:pStyle w:val="ListParagraph"/>
        <w:numPr>
          <w:ilvl w:val="0"/>
          <w:numId w:val="2"/>
        </w:numPr>
        <w:spacing w:after="80" w:line="290"/>
        <w:jc w:val="left"/>
      </w:pPr>
      <w:r>
        <w:rPr>
          <w:b/>
          <w:bCs/>
          <w:sz w:val="22"/>
          <w:szCs w:val="22"/>
        </w:rPr>
        <w:t xml:space="preserve">Lintas damai</w:t>
      </w:r>
      <w:r>
        <w:rPr>
          <w:sz w:val="22"/>
          <w:szCs w:val="22"/>
        </w:rPr>
        <w:t xml:space="preserve"> (</w:t>
      </w:r>
      <w:r>
        <w:rPr>
          <w:i/>
          <w:iCs/>
          <w:sz w:val="22"/>
          <w:szCs w:val="22"/>
        </w:rPr>
        <w:t xml:space="preserve">innocent passage</w:t>
      </w:r>
      <w:r>
        <w:rPr>
          <w:sz w:val="22"/>
          <w:szCs w:val="22"/>
        </w:rPr>
        <w:t xml:space="preserve">): hak kapal asing melintas di laut teritorial secara cepat dan tidak mengancam kedamaian, ketertiban, atau keamanan negara pantai. Kapal selam harus berlayar di permukaan dengan mengibarkan bendera.</w:t>
      </w:r>
    </w:p>
    <w:p>
      <w:pPr>
        <w:pStyle w:val="ListParagraph"/>
        <w:numPr>
          <w:ilvl w:val="0"/>
          <w:numId w:val="2"/>
        </w:numPr>
        <w:spacing w:after="80" w:line="290"/>
        <w:jc w:val="left"/>
      </w:pPr>
      <w:r>
        <w:rPr>
          <w:b/>
          <w:bCs/>
          <w:sz w:val="22"/>
          <w:szCs w:val="22"/>
        </w:rPr>
        <w:t xml:space="preserve">Lintas transit</w:t>
      </w:r>
      <w:r>
        <w:rPr>
          <w:sz w:val="22"/>
          <w:szCs w:val="22"/>
        </w:rPr>
        <w:t xml:space="preserve"> (</w:t>
      </w:r>
      <w:r>
        <w:rPr>
          <w:i/>
          <w:iCs/>
          <w:sz w:val="22"/>
          <w:szCs w:val="22"/>
        </w:rPr>
        <w:t xml:space="preserve">transit passage</w:t>
      </w:r>
      <w:r>
        <w:rPr>
          <w:sz w:val="22"/>
          <w:szCs w:val="22"/>
        </w:rPr>
        <w:t xml:space="preserve">): hak lintas kapal dan pesawat di selat yang digunakan untuk pelayaran internasional; lebih luas daripada lintas damai dan tidak dapat ditangguhkan. Inilah rezim yang mengatur Selat Malaka.</w:t>
      </w:r>
    </w:p>
    <w:p>
      <w:pPr>
        <w:pStyle w:val="ListParagraph"/>
        <w:numPr>
          <w:ilvl w:val="0"/>
          <w:numId w:val="2"/>
        </w:numPr>
        <w:spacing w:after="80" w:line="290"/>
        <w:jc w:val="left"/>
      </w:pPr>
      <w:r>
        <w:rPr>
          <w:b/>
          <w:bCs/>
          <w:sz w:val="22"/>
          <w:szCs w:val="22"/>
        </w:rPr>
        <w:t xml:space="preserve">Lintas alur laut kepulauan</w:t>
      </w:r>
      <w:r>
        <w:rPr>
          <w:sz w:val="22"/>
          <w:szCs w:val="22"/>
        </w:rPr>
        <w:t xml:space="preserve"> (</w:t>
      </w:r>
      <w:r>
        <w:rPr>
          <w:i/>
          <w:iCs/>
          <w:sz w:val="22"/>
          <w:szCs w:val="22"/>
        </w:rPr>
        <w:t xml:space="preserve">archipelagic sea lanes passage</w:t>
      </w:r>
      <w:r>
        <w:rPr>
          <w:sz w:val="22"/>
          <w:szCs w:val="22"/>
        </w:rPr>
        <w:t xml:space="preserve">): hak lintas di alur yang ditetapkan negara kepulauan.</w:t>
      </w:r>
    </w:p>
    <w:p>
      <w:pPr>
        <w:spacing w:after="80" w:line="200"/>
      </w:pPr>
    </w:p>
    <w:p>
      <w:pPr>
        <w:pStyle w:val="Heading2"/>
        <w:keepNext/>
        <w:spacing w:after="120" w:before="280"/>
      </w:pPr>
      <w:r>
        <w:t xml:space="preserve">D. Negara Kepulauan: Hadiah Perjuangan Indonesia</w:t>
      </w:r>
    </w:p>
    <w:p>
      <w:pPr>
        <w:spacing w:after="140" w:before="0" w:line="300"/>
        <w:jc w:val="both"/>
      </w:pPr>
      <w:r>
        <w:rPr>
          <w:sz w:val="22"/>
          <w:szCs w:val="22"/>
        </w:rPr>
        <w:t xml:space="preserve">Bab IV UNCLOS (Pasal 46-54) mengakui rezim negara kepulauan. Negara kepulauan boleh menarik </w:t>
      </w:r>
      <w:r>
        <w:rPr>
          <w:b/>
          <w:bCs/>
          <w:sz w:val="22"/>
          <w:szCs w:val="22"/>
        </w:rPr>
        <w:t xml:space="preserve">garis pangkal kepulauan</w:t>
      </w:r>
      <w:r>
        <w:rPr>
          <w:sz w:val="22"/>
          <w:szCs w:val="22"/>
        </w:rPr>
        <w:t xml:space="preserve"> yang menghubungkan titik-titik terluar pulau terluar, dengan syarat rasio luas perairan dan daratan tertentu dan panjang garis yang terbatas. Perairan di sebelah dalam garis pangkal menjadi </w:t>
      </w:r>
      <w:r>
        <w:rPr>
          <w:b/>
          <w:bCs/>
          <w:sz w:val="22"/>
          <w:szCs w:val="22"/>
        </w:rPr>
        <w:t xml:space="preserve">perairan kepulauan</w:t>
      </w:r>
      <w:r>
        <w:rPr>
          <w:sz w:val="22"/>
          <w:szCs w:val="22"/>
        </w:rPr>
        <w:t xml:space="preserve"> yang berada di bawah kedaulatan negara kepulauan, dengan tetap menghormati hak lintas damai dan hak lintas alur laut kepulauan bagi kapal asing.</w:t>
      </w:r>
    </w:p>
    <w:p>
      <w:pPr>
        <w:spacing w:after="140" w:before="0" w:line="300"/>
        <w:jc w:val="both"/>
      </w:pPr>
      <w:r>
        <w:rPr>
          <w:sz w:val="22"/>
          <w:szCs w:val="22"/>
        </w:rPr>
        <w:t xml:space="preserve">Ini merupakan buah perjuangan panjang dari </w:t>
      </w:r>
      <w:r>
        <w:rPr>
          <w:b/>
          <w:bCs/>
          <w:sz w:val="22"/>
          <w:szCs w:val="22"/>
        </w:rPr>
        <w:t xml:space="preserve">Deklarasi Djuanda 13 Desember 1957</w:t>
      </w:r>
      <w:r>
        <w:rPr>
          <w:sz w:val="22"/>
          <w:szCs w:val="22"/>
        </w:rPr>
        <w:t xml:space="preserve">, yang kemudian diperkuat lewat UU No. 4/Prp Tahun 1960 tentang Perairan Indonesia, digantikan UU No. 6 Tahun 1996 tentang Perairan Indonesia. Peringatan Hari Nusantara setiap 13 Desember berakar dari Deklarasi tersebut. Untuk hak lintas alur laut kepulauan, Indonesia menetapkan </w:t>
      </w:r>
      <w:r>
        <w:rPr>
          <w:b/>
          <w:bCs/>
          <w:sz w:val="22"/>
          <w:szCs w:val="22"/>
        </w:rPr>
        <w:t xml:space="preserve">tiga ALKI (I, II, dan III)</w:t>
      </w:r>
      <w:r>
        <w:rPr>
          <w:sz w:val="22"/>
          <w:szCs w:val="22"/>
        </w:rPr>
        <w:t xml:space="preserve"> yang membentang utara-selatan, melewati Selat Sunda, Selat Lombok, dan Laut Banda, melalui PP No. 37 Tahun 2002.</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Sorotan: Natuna dan Kepentingan Indonesia</w:t>
            </w:r>
          </w:p>
          <w:p>
            <w:pPr>
              <w:spacing w:after="80" w:before="0" w:line="290"/>
              <w:jc w:val="left"/>
            </w:pPr>
            <w:r>
              <w:rPr>
                <w:sz w:val="21"/>
                <w:szCs w:val="21"/>
              </w:rPr>
              <w:t xml:space="preserve">Sebagian perairan Kepulauan Natuna di Laut China Selatan berada dalam ZEE Indonesia. Pada 2017, Indonesia menamai bagian utara perairan itu sebagai Laut Natuna Utara. Indonesia berpandangan bahwa mereka tidak memiliki sengketa wilayah dengan Tiongkok, tetapi menolak klaim "sembilan garis putus-putus" sebagai tidak sesuai UNCLOS, sejalan dengan putusan arbitrase 2016. Sebagai latihan, cari nota diplomatik dan pernyataan resmi Indonesia mengenai isu ini di situs Kementerian Luar Negeri.</w:t>
            </w:r>
          </w:p>
        </w:tc>
      </w:tr>
    </w:tbl>
    <w:p>
      <w:pPr>
        <w:spacing w:after="160" w:line="200"/>
      </w:pPr>
    </w:p>
    <w:p>
      <w:pPr>
        <w:pStyle w:val="Heading2"/>
        <w:keepNext/>
        <w:spacing w:after="120" w:before="280"/>
      </w:pPr>
      <w:r>
        <w:t xml:space="preserve">E. Delimitasi Maritim dan Sumber Daya</w:t>
      </w:r>
    </w:p>
    <w:p>
      <w:pPr>
        <w:spacing w:after="140" w:before="0" w:line="300"/>
        <w:jc w:val="both"/>
      </w:pPr>
      <w:r>
        <w:rPr>
          <w:sz w:val="22"/>
          <w:szCs w:val="22"/>
        </w:rPr>
        <w:t xml:space="preserve">Ketika ZEE atau landas kontinen dua negara tumpang tindih, mereka wajib menetapkan batas melalui perjanjian berdasarkan hukum internasional untuk mencapai solusi yang adil (Pasal 74 dan 83 UNCLOS). Pengadilan biasanya menerapkan tiga langkah: menarik garis tengah sementara, mempertimbangkan keadaan relevan, dan menguji proporsionalitas hasilnya. Hak negara pantai atas sumber daya di ZEE mencakup perikanan, sehingga penangkapan ikan ilegal oleh kapal asing (IUU fishing) bukan sekadar pelanggaran perizinan, tetapi juga pelanggaran hak berdaulat negara pantai. Penenggelaman kapal pelaku IUU fishing di Indonesia, di samping soal penegakan hukum nasional, juga memunculkan pertanyaan tentang kesesuaiannya dengan Pasal 73 UNCLOS, yang membatasi hukuman kurungan bagi pelaku pelanggaran perikanan di ZEE dan mensyaratkan pemberitahuan segera dan pelepasan kapal serta awak dengan jaminan yang wajar.</w:t>
      </w:r>
    </w:p>
    <w:p>
      <w:pPr>
        <w:pStyle w:val="Heading2"/>
        <w:keepNext/>
        <w:spacing w:after="120" w:before="280"/>
      </w:pPr>
      <w:r>
        <w:t xml:space="preserve">F. Lingkungan Laut dan Penyelesaian Sengketa</w:t>
      </w:r>
    </w:p>
    <w:p>
      <w:pPr>
        <w:spacing w:after="140" w:before="0" w:line="300"/>
        <w:jc w:val="both"/>
      </w:pPr>
      <w:r>
        <w:rPr>
          <w:sz w:val="22"/>
          <w:szCs w:val="22"/>
        </w:rPr>
        <w:t xml:space="preserve">Bagian XII UNCLOS mewajibkan negara melindungi dan melestarikan lingkungan laut, termasuk mencegah pencemaran dari kapal dan dari darat. Sengketa penafsiran UNCLOS diselesaikan lewat mekanisme Bagian XV: negara dapat memilih ITLOS, ICJ, arbitrase Lampiran VII, atau arbitrase khusus Lampiran VIII, dan bila tidak ada pilihan yang sama, arbitrase Lampiran VII menjadi default. Sebagai catatan, UNCLOS tidak diratifikasi oleh Amerika Serikat, tetapi negara itu umumnya menganggap banyak ketentuannya sebagai hukum kebiasaan.</w:t>
      </w: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UNCLOS 1982 adalah kerangka hukum menyeluruh atas laut dan berlaku sejak 1994.</w:t>
            </w:r>
          </w:p>
          <w:p>
            <w:pPr>
              <w:pStyle w:val="ListParagraph"/>
              <w:numPr>
                <w:ilvl w:val="0"/>
                <w:numId w:val="2"/>
              </w:numPr>
              <w:spacing w:after="80" w:line="290"/>
              <w:jc w:val="left"/>
            </w:pPr>
            <w:r>
              <w:rPr>
                <w:sz w:val="21"/>
                <w:szCs w:val="21"/>
              </w:rPr>
              <w:t xml:space="preserve">Zona maritim: perairan pedalaman, laut teritorial 12 mil, zona tambahan 24 mil, ZEE 200 mil, landas kontinen, laut lepas, dan Kawasan.</w:t>
            </w:r>
          </w:p>
          <w:p>
            <w:pPr>
              <w:pStyle w:val="ListParagraph"/>
              <w:numPr>
                <w:ilvl w:val="0"/>
                <w:numId w:val="2"/>
              </w:numPr>
              <w:spacing w:after="80" w:line="290"/>
              <w:jc w:val="left"/>
            </w:pPr>
            <w:r>
              <w:rPr>
                <w:sz w:val="21"/>
                <w:szCs w:val="21"/>
              </w:rPr>
              <w:t xml:space="preserve">Hak lintas: damai, transit, dan alur laut kepulauan.</w:t>
            </w:r>
          </w:p>
          <w:p>
            <w:pPr>
              <w:pStyle w:val="ListParagraph"/>
              <w:numPr>
                <w:ilvl w:val="0"/>
                <w:numId w:val="2"/>
              </w:numPr>
              <w:spacing w:after="80" w:line="290"/>
              <w:jc w:val="left"/>
            </w:pPr>
            <w:r>
              <w:rPr>
                <w:sz w:val="21"/>
                <w:szCs w:val="21"/>
              </w:rPr>
              <w:t xml:space="preserve">Indonesia sebagai negara kepulauan menikmati hak menarik garis pangkal kepulauan dan menetapkan ALKI.</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UNCLOS 1982  •  garis pangkal  •  ZEE  •  landas kontinen  •  lintas damai  •  lintas transit  •  ALKI  •  common heritage of mankind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16"/>
              </w:numPr>
              <w:spacing w:after="80" w:line="290"/>
              <w:jc w:val="left"/>
            </w:pPr>
            <w:r>
              <w:rPr>
                <w:sz w:val="21"/>
                <w:szCs w:val="21"/>
              </w:rPr>
              <w:t xml:space="preserve">Bandingkan rezim lintas damai, lintas transit, dan lintas alur laut kepulauan. Mengapa Selat Malaka tunduk pada lintas transit?</w:t>
            </w:r>
          </w:p>
          <w:p>
            <w:pPr>
              <w:pStyle w:val="ListParagraph"/>
              <w:numPr>
                <w:ilvl w:val="0"/>
                <w:numId w:val="16"/>
              </w:numPr>
              <w:spacing w:after="80" w:line="290"/>
              <w:jc w:val="left"/>
            </w:pPr>
            <w:r>
              <w:rPr>
                <w:sz w:val="21"/>
                <w:szCs w:val="21"/>
              </w:rPr>
              <w:t xml:space="preserve">Bagaimana hukum laut internasional menilai kebijakan penenggelaman kapal pencuri ikan?</w:t>
            </w:r>
          </w:p>
          <w:p>
            <w:pPr>
              <w:pStyle w:val="ListParagraph"/>
              <w:numPr>
                <w:ilvl w:val="0"/>
                <w:numId w:val="16"/>
              </w:numPr>
              <w:spacing w:after="80" w:line="290"/>
              <w:jc w:val="left"/>
            </w:pPr>
            <w:r>
              <w:rPr>
                <w:sz w:val="21"/>
                <w:szCs w:val="21"/>
              </w:rPr>
              <w:t xml:space="preserve">Mengapa Deklarasi Djuanda dianggap sebagai tonggak hukum laut Indonesia?</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Peta Laut Indonesia (30 menit).</w:t>
            </w:r>
            <w:r>
              <w:rPr>
                <w:sz w:val="21"/>
                <w:szCs w:val="21"/>
              </w:rPr>
              <w:t xml:space="preserve"> Dengan peta digital, kelompok menggambar garis pangkal kepulauan Indonesia sederhana, menandai ALKI, laut teritorial, dan ZEE di sekitar Sumatra, lalu mengidentifikasi tiga titik rawan konflik maritim dan hukum yang berlaku di masing-masingnya.</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"Jelaskan secara sederhana perbedaan laut teritorial, ZEE, dan landas kontinen menggunakan analogi kehidupan sehari-hari. Lalu buat satu kuis lima soal pilihan ganda tentang hak kapal asing di tiap zona. Beri penjelasan untuk jawabanku yang salah."</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Boer Mauna, </w:t>
      </w:r>
      <w:r>
        <w:rPr>
          <w:i/>
          <w:iCs/>
          <w:color w:val="595959"/>
          <w:sz w:val="20"/>
          <w:szCs w:val="20"/>
        </w:rPr>
        <w:t xml:space="preserve">Hukum Internasional</w:t>
      </w:r>
      <w:r>
        <w:rPr>
          <w:color w:val="595959"/>
          <w:sz w:val="20"/>
          <w:szCs w:val="20"/>
        </w:rPr>
        <w:t xml:space="preserve">; Mochtar Kusumaatmadja, </w:t>
      </w:r>
      <w:r>
        <w:rPr>
          <w:i/>
          <w:iCs/>
          <w:color w:val="595959"/>
          <w:sz w:val="20"/>
          <w:szCs w:val="20"/>
        </w:rPr>
        <w:t xml:space="preserve">Pengantar Hukum Internasional</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(bab hukum laut); teks UNCLOS 1982, UU No. 6 Tahun 1996, UU No. 32 Tahun 2014 tentang Kelautan.</w:t>
      </w:r>
    </w:p>
    <w:p>
      <w:pPr>
        <w:keepNext/>
        <w:pageBreakBefore/>
        <w:spacing w:after="60"/>
      </w:pPr>
      <w:r>
        <w:rPr>
          <w:rFonts w:ascii="Calibri" w:cs="Calibri" w:eastAsia="Calibri" w:hAnsi="Calibri"/>
          <w:b/>
          <w:bCs/>
          <w:color w:val="B8892B"/>
          <w:spacing w:val="60"/>
          <w:sz w:val="22"/>
          <w:szCs w:val="22"/>
        </w:rPr>
        <w:t xml:space="preserve">BAB 12   |   PERTEMUAN 13</w:t>
      </w:r>
    </w:p>
    <w:p>
      <w:pPr>
        <w:pStyle w:val="Heading1"/>
        <w:keepNext/>
        <w:pBdr>
          <w:bottom w:val="single" w:color="B8892B" w:sz="12" w:space="6"/>
        </w:pBdr>
        <w:spacing w:after="100"/>
      </w:pPr>
      <w:r>
        <w:t xml:space="preserve">Satu Atmosfer, Seribu Kepentingan</w:t>
      </w:r>
    </w:p>
    <w:p>
      <w:pPr>
        <w:spacing w:after="200"/>
      </w:pPr>
      <w:r>
        <w:rPr>
          <w:rFonts w:ascii="Cambria" w:cs="Cambria" w:eastAsia="Cambria" w:hAnsi="Cambria"/>
          <w:i/>
          <w:iCs/>
          <w:color w:val="595959"/>
          <w:sz w:val="26"/>
          <w:szCs w:val="26"/>
        </w:rPr>
        <w:t xml:space="preserve">Hukum Internasional dan Perubahan Iklim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Asap yang Tak Kenal Perbatasan</w:t>
            </w:r>
          </w:p>
          <w:p>
            <w:pPr>
              <w:spacing w:after="80" w:before="0" w:line="290"/>
              <w:jc w:val="left"/>
            </w:pPr>
            <w:r>
              <w:rPr>
                <w:sz w:val="21"/>
                <w:szCs w:val="21"/>
              </w:rPr>
              <w:t xml:space="preserve">Bagi warga Riau, kabut asap dari kebakaran hutan dan lahan gambut bukan cerita asing. Asap tidak berhenti di batas provinsi; dalam episode tertentu ia terbawa angin hingga ke negara tetangga dan memicu protes diplomatik. Kebakaran gambut juga melepaskan karbon dalam jumlah besar ke atmosfer, sehingga memperparah pemanasan global. Dari situ muncul pertanyaan hukum yang besar: siapa yang wajib bertindak, sejauh apa kewajiban itu, dan apa akibatnya bila negara gagal memenuhinya? Bab ini menjelaskan bagaimana hukum internasional menjawab tantangan terbesar generasi kita.</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prinsip-prinsip dasar hukum lingkungan internasional;</w:t>
            </w:r>
          </w:p>
          <w:p>
            <w:pPr>
              <w:pStyle w:val="ListParagraph"/>
              <w:numPr>
                <w:ilvl w:val="0"/>
                <w:numId w:val="2"/>
              </w:numPr>
              <w:spacing w:after="80" w:line="290"/>
              <w:jc w:val="left"/>
            </w:pPr>
            <w:r>
              <w:rPr>
                <w:sz w:val="21"/>
                <w:szCs w:val="21"/>
              </w:rPr>
              <w:t xml:space="preserve">menguraikan rezim perubahan iklim: UNFCCC, Protokol Kyoto, dan Persetujuan Paris;</w:t>
            </w:r>
          </w:p>
          <w:p>
            <w:pPr>
              <w:pStyle w:val="ListParagraph"/>
              <w:numPr>
                <w:ilvl w:val="0"/>
                <w:numId w:val="2"/>
              </w:numPr>
              <w:spacing w:after="80" w:line="290"/>
              <w:jc w:val="left"/>
            </w:pPr>
            <w:r>
              <w:rPr>
                <w:sz w:val="21"/>
                <w:szCs w:val="21"/>
              </w:rPr>
              <w:t xml:space="preserve">menjelaskan prinsip tanggung jawab bersama tetapi berbeda (CBDR-RC) dan mekanisme kerugian dan kerusakan;</w:t>
            </w:r>
          </w:p>
          <w:p>
            <w:pPr>
              <w:pStyle w:val="ListParagraph"/>
              <w:numPr>
                <w:ilvl w:val="0"/>
                <w:numId w:val="2"/>
              </w:numPr>
              <w:spacing w:after="80" w:line="290"/>
              <w:jc w:val="left"/>
            </w:pPr>
            <w:r>
              <w:rPr>
                <w:sz w:val="21"/>
                <w:szCs w:val="21"/>
              </w:rPr>
              <w:t xml:space="preserve">menganalisis tren litigasi iklim dan pendapat penasihat pengadilan internasional, serta kedudukan Indonesia.</w:t>
            </w:r>
          </w:p>
        </w:tc>
      </w:tr>
    </w:tbl>
    <w:p>
      <w:pPr>
        <w:spacing w:after="160" w:line="200"/>
      </w:pPr>
    </w:p>
    <w:p>
      <w:pPr>
        <w:pStyle w:val="Heading2"/>
        <w:keepNext/>
        <w:spacing w:after="120" w:before="280"/>
      </w:pPr>
      <w:r>
        <w:t xml:space="preserve">A. Prinsip-Prinsip Fondasi Hukum Lingkungan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3900"/>
        <w:gridCol w:w="2726"/>
      </w:tblGrid>
      <w:tr>
        <w:trPr>
          <w:cantSplit/>
          <w:tblHeader/>
        </w:trPr>
        <w:tc>
          <w:tcPr>
            <w:tcW w:type="dxa" w:w="24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Prinsip</w:t>
            </w:r>
          </w:p>
        </w:tc>
        <w:tc>
          <w:tcPr>
            <w:tcW w:type="dxa" w:w="39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Isi</w:t>
            </w:r>
          </w:p>
        </w:tc>
        <w:tc>
          <w:tcPr>
            <w:tcW w:type="dxa" w:w="27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Sumber atau Contoh</w:t>
            </w:r>
          </w:p>
        </w:tc>
      </w:tr>
      <w:tr>
        <w:trPr>
          <w:cantSplit/>
        </w:trPr>
        <w:tc>
          <w:tcPr>
            <w:tcW w:type="dxa" w:w="24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Tidak merugikan (no-harm)</w:t>
            </w:r>
          </w:p>
        </w:tc>
        <w:tc>
          <w:tcPr>
            <w:tcW w:type="dxa" w:w="3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Negara wajib memastikan kegiatan di wilayahnya tidak merugikan lingkungan negara lain atau kawasan di luar yurisdiksi nasional</w:t>
            </w:r>
          </w:p>
        </w:tc>
        <w:tc>
          <w:tcPr>
            <w:tcW w:type="dxa" w:w="27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Trail Smelter (1941); Prinsip 21 Stockholm 1972; Prinsip 2 Rio 1992</w:t>
            </w:r>
          </w:p>
        </w:tc>
      </w:tr>
      <w:tr>
        <w:trPr>
          <w:cantSplit/>
        </w:trPr>
        <w:tc>
          <w:tcPr>
            <w:tcW w:type="dxa" w:w="24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Pencegahan (prevention)</w:t>
            </w:r>
          </w:p>
        </w:tc>
        <w:tc>
          <w:tcPr>
            <w:tcW w:type="dxa" w:w="3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Mencegah kerusakan lebih baik daripada memperbaikinya</w:t>
            </w:r>
          </w:p>
        </w:tc>
        <w:tc>
          <w:tcPr>
            <w:tcW w:type="dxa" w:w="27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Gabčíkovo-Nagymaros; Pulp Mills (2010)</w:t>
            </w:r>
          </w:p>
        </w:tc>
      </w:tr>
      <w:tr>
        <w:trPr>
          <w:cantSplit/>
        </w:trPr>
        <w:tc>
          <w:tcPr>
            <w:tcW w:type="dxa" w:w="24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Kehati-hatian (precautionary)</w:t>
            </w:r>
          </w:p>
        </w:tc>
        <w:tc>
          <w:tcPr>
            <w:tcW w:type="dxa" w:w="3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Ketiadaan kepastian ilmiah penuh tidak boleh menjadi alasan menunda tindakan bila ada ancaman kerusakan serius</w:t>
            </w:r>
          </w:p>
        </w:tc>
        <w:tc>
          <w:tcPr>
            <w:tcW w:type="dxa" w:w="27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Prinsip 15 Rio 1992</w:t>
            </w:r>
          </w:p>
        </w:tc>
      </w:tr>
      <w:tr>
        <w:trPr>
          <w:cantSplit/>
        </w:trPr>
        <w:tc>
          <w:tcPr>
            <w:tcW w:type="dxa" w:w="24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Pencemar membayar (polluter pays)</w:t>
            </w:r>
          </w:p>
        </w:tc>
        <w:tc>
          <w:tcPr>
            <w:tcW w:type="dxa" w:w="3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Biaya pencemaran ditanggung pencemar</w:t>
            </w:r>
          </w:p>
        </w:tc>
        <w:tc>
          <w:tcPr>
            <w:tcW w:type="dxa" w:w="27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Prinsip 16 Rio 1992</w:t>
            </w:r>
          </w:p>
        </w:tc>
      </w:tr>
      <w:tr>
        <w:trPr>
          <w:cantSplit/>
        </w:trPr>
        <w:tc>
          <w:tcPr>
            <w:tcW w:type="dxa" w:w="24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Pembangunan berkelanjutan</w:t>
            </w:r>
          </w:p>
        </w:tc>
        <w:tc>
          <w:tcPr>
            <w:tcW w:type="dxa" w:w="3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Memenuhi kebutuhan kini tanpa mengorbankan kemampuan generasi mendatang</w:t>
            </w:r>
          </w:p>
        </w:tc>
        <w:tc>
          <w:tcPr>
            <w:tcW w:type="dxa" w:w="27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Laporan Brundtland 1987; Agenda 2030</w:t>
            </w:r>
          </w:p>
        </w:tc>
      </w:tr>
      <w:tr>
        <w:trPr>
          <w:cantSplit/>
        </w:trPr>
        <w:tc>
          <w:tcPr>
            <w:tcW w:type="dxa" w:w="24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Tanggung jawab bersama tapi berbeda (CBDR-RC)</w:t>
            </w:r>
          </w:p>
        </w:tc>
        <w:tc>
          <w:tcPr>
            <w:tcW w:type="dxa" w:w="3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Semua negara bertanggung jawab, tetapi kewajiban disesuaikan dengan kontribusi historis dan kemampuan masing-masing</w:t>
            </w:r>
          </w:p>
        </w:tc>
        <w:tc>
          <w:tcPr>
            <w:tcW w:type="dxa" w:w="27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UNFCCC Pasal 3 dan 4</w:t>
            </w:r>
          </w:p>
        </w:tc>
      </w:tr>
    </w:tbl>
    <w:p>
      <w:pPr>
        <w:spacing w:after="160" w:line="200"/>
      </w:pPr>
    </w:p>
    <w:p>
      <w:pPr>
        <w:pStyle w:val="Heading2"/>
        <w:keepNext/>
        <w:spacing w:after="120" w:before="280"/>
      </w:pPr>
      <w:r>
        <w:t xml:space="preserve">B. Rezim Perubahan Iklim: Tiga Tonggak</w:t>
      </w:r>
    </w:p>
    <w:p>
      <w:pPr>
        <w:spacing w:after="140" w:before="0" w:line="300"/>
        <w:jc w:val="both"/>
      </w:pPr>
      <w:r>
        <w:rPr>
          <w:b/>
          <w:bCs/>
          <w:sz w:val="22"/>
          <w:szCs w:val="22"/>
        </w:rPr>
        <w:t xml:space="preserve">UNFCCC (1992)</w:t>
      </w:r>
      <w:r>
        <w:rPr>
          <w:sz w:val="22"/>
          <w:szCs w:val="22"/>
        </w:rPr>
        <w:t xml:space="preserve">, Konvensi Kerangka PBB tentang Perubahan Iklim, berlaku sejak 1994. Tujuannya menstabilkan konsentrasi gas rumah kaca (GRK) di atmosfer pada tingkat yang mencegah gangguan berbahaya pada sistem iklim. Konvensi ini bersifat kerangka: prinsip-prinsipnya jelas, target angkanya belum ada. Indonesia mengesahkannya melalui UU No. 6 Tahun 1994.</w:t>
      </w:r>
    </w:p>
    <w:p>
      <w:pPr>
        <w:spacing w:after="140" w:before="0" w:line="300"/>
        <w:jc w:val="both"/>
      </w:pPr>
      <w:r>
        <w:rPr>
          <w:b/>
          <w:bCs/>
          <w:sz w:val="22"/>
          <w:szCs w:val="22"/>
        </w:rPr>
        <w:t xml:space="preserve">Protokol Kyoto (1997)</w:t>
      </w:r>
      <w:r>
        <w:rPr>
          <w:sz w:val="22"/>
          <w:szCs w:val="22"/>
        </w:rPr>
        <w:t xml:space="preserve">, berlaku sejak 2005, menetapkan target pengurangan emisi mengikat, tetapi hanya untuk negara maju (Annex I). Kelemahannya: penghasil emisi besar tertentu tidak terikat atau menarik diri, dan cakupannya terbatas. Indonesia meratifikasinya lewat UU No. 17 Tahun 2004.</w:t>
      </w:r>
    </w:p>
    <w:p>
      <w:pPr>
        <w:spacing w:after="140" w:before="0" w:line="300"/>
        <w:jc w:val="both"/>
      </w:pPr>
      <w:r>
        <w:rPr>
          <w:b/>
          <w:bCs/>
          <w:sz w:val="22"/>
          <w:szCs w:val="22"/>
        </w:rPr>
        <w:t xml:space="preserve">Persetujuan Paris (2015)</w:t>
      </w:r>
      <w:r>
        <w:rPr>
          <w:sz w:val="22"/>
          <w:szCs w:val="22"/>
        </w:rPr>
        <w:t xml:space="preserve">, berlaku sejak 4 November 2016, mengubah pendekatan dari target yang dipaksakan dari atas menjadi kontribusi yang ditentukan sendiri oleh tiap negara. Isi pokoknya:</w:t>
      </w:r>
    </w:p>
    <w:p>
      <w:pPr>
        <w:pStyle w:val="ListParagraph"/>
        <w:numPr>
          <w:ilvl w:val="0"/>
          <w:numId w:val="2"/>
        </w:numPr>
        <w:spacing w:after="80" w:line="290"/>
        <w:jc w:val="left"/>
      </w:pPr>
      <w:r>
        <w:rPr>
          <w:b/>
          <w:bCs/>
          <w:sz w:val="22"/>
          <w:szCs w:val="22"/>
        </w:rPr>
        <w:t xml:space="preserve">Tujuan suhu (Pasal 2)</w:t>
      </w:r>
      <w:r>
        <w:rPr>
          <w:sz w:val="22"/>
          <w:szCs w:val="22"/>
        </w:rPr>
        <w:t xml:space="preserve">: menahan kenaikan suhu rata-rata global jauh di bawah 2°C di atas tingkat pra-industri dan mengupayakan pembatasan hingga 1,5°C.</w:t>
      </w:r>
    </w:p>
    <w:p>
      <w:pPr>
        <w:pStyle w:val="ListParagraph"/>
        <w:numPr>
          <w:ilvl w:val="0"/>
          <w:numId w:val="2"/>
        </w:numPr>
        <w:spacing w:after="80" w:line="290"/>
        <w:jc w:val="left"/>
      </w:pPr>
      <w:r>
        <w:rPr>
          <w:b/>
          <w:bCs/>
          <w:i/>
          <w:iCs/>
          <w:sz w:val="22"/>
          <w:szCs w:val="22"/>
        </w:rPr>
        <w:t xml:space="preserve">Nationally Determined Contributions (NDC)</w:t>
      </w:r>
      <w:r>
        <w:rPr>
          <w:sz w:val="22"/>
          <w:szCs w:val="22"/>
        </w:rPr>
        <w:t xml:space="preserve">: setiap negara menyusun, menyampaikan, dan memperbarui target nasionalnya setiap lima tahun dengan ambisi yang makin tinggi (prinsip progresi).</w:t>
      </w:r>
    </w:p>
    <w:p>
      <w:pPr>
        <w:pStyle w:val="ListParagraph"/>
        <w:numPr>
          <w:ilvl w:val="0"/>
          <w:numId w:val="2"/>
        </w:numPr>
        <w:spacing w:after="80" w:line="290"/>
        <w:jc w:val="left"/>
      </w:pPr>
      <w:r>
        <w:rPr>
          <w:b/>
          <w:bCs/>
          <w:sz w:val="22"/>
          <w:szCs w:val="22"/>
        </w:rPr>
        <w:t xml:space="preserve">Transparansi dan tinjauan global</w:t>
      </w:r>
      <w:r>
        <w:rPr>
          <w:sz w:val="22"/>
          <w:szCs w:val="22"/>
        </w:rPr>
        <w:t xml:space="preserve"> (</w:t>
      </w:r>
      <w:r>
        <w:rPr>
          <w:i/>
          <w:iCs/>
          <w:sz w:val="22"/>
          <w:szCs w:val="22"/>
        </w:rPr>
        <w:t xml:space="preserve">global stocktake</w:t>
      </w:r>
      <w:r>
        <w:rPr>
          <w:sz w:val="22"/>
          <w:szCs w:val="22"/>
        </w:rPr>
        <w:t xml:space="preserve">) secara berkala untuk menilai kemajuan kolektif.</w:t>
      </w:r>
    </w:p>
    <w:p>
      <w:pPr>
        <w:pStyle w:val="ListParagraph"/>
        <w:numPr>
          <w:ilvl w:val="0"/>
          <w:numId w:val="2"/>
        </w:numPr>
        <w:spacing w:after="80" w:line="290"/>
        <w:jc w:val="left"/>
      </w:pPr>
      <w:r>
        <w:rPr>
          <w:b/>
          <w:bCs/>
          <w:sz w:val="22"/>
          <w:szCs w:val="22"/>
        </w:rPr>
        <w:t xml:space="preserve">Pendanaan, teknologi, dan peningkatan kapasitas</w:t>
      </w:r>
      <w:r>
        <w:rPr>
          <w:sz w:val="22"/>
          <w:szCs w:val="22"/>
        </w:rPr>
        <w:t xml:space="preserve"> bagi negara berkembang.</w:t>
      </w:r>
    </w:p>
    <w:p>
      <w:pPr>
        <w:pStyle w:val="ListParagraph"/>
        <w:numPr>
          <w:ilvl w:val="0"/>
          <w:numId w:val="2"/>
        </w:numPr>
        <w:spacing w:after="80" w:line="290"/>
        <w:jc w:val="left"/>
      </w:pPr>
      <w:r>
        <w:rPr>
          <w:b/>
          <w:bCs/>
          <w:sz w:val="22"/>
          <w:szCs w:val="22"/>
        </w:rPr>
        <w:t xml:space="preserve">Adaptasi serta kerugian dan kerusakan</w:t>
      </w:r>
      <w:r>
        <w:rPr>
          <w:sz w:val="22"/>
          <w:szCs w:val="22"/>
        </w:rPr>
        <w:t xml:space="preserve"> (</w:t>
      </w:r>
      <w:r>
        <w:rPr>
          <w:i/>
          <w:iCs/>
          <w:sz w:val="22"/>
          <w:szCs w:val="22"/>
        </w:rPr>
        <w:t xml:space="preserve">loss and damage</w:t>
      </w:r>
      <w:r>
        <w:rPr>
          <w:sz w:val="22"/>
          <w:szCs w:val="22"/>
        </w:rPr>
        <w:t xml:space="preserve">), dengan dana khusus yang disepakati di COP27 (Sharm el-Sheikh, 2022) dan dioperasionalkan sesudahnya.</w:t>
      </w:r>
    </w:p>
    <w:p>
      <w:pPr>
        <w:spacing w:after="80" w:line="200"/>
      </w:pPr>
    </w:p>
    <w:p>
      <w:pPr>
        <w:spacing w:after="140" w:before="0" w:line="300"/>
        <w:jc w:val="both"/>
      </w:pPr>
      <w:r>
        <w:rPr>
          <w:sz w:val="22"/>
          <w:szCs w:val="22"/>
        </w:rPr>
        <w:t xml:space="preserve">Indonesia mengesahkan Persetujuan Paris melalui UU No. 16 Tahun 2016. Dokumen </w:t>
      </w:r>
      <w:r>
        <w:rPr>
          <w:i/>
          <w:iCs/>
          <w:sz w:val="22"/>
          <w:szCs w:val="22"/>
        </w:rPr>
        <w:t xml:space="preserve">Enhanced NDC</w:t>
      </w:r>
      <w:r>
        <w:rPr>
          <w:sz w:val="22"/>
          <w:szCs w:val="22"/>
        </w:rPr>
        <w:t xml:space="preserve"> Indonesia (2022) menyebut target pengurangan emisi 31,89 persen dengan upaya sendiri dan hingga 43,20 persen dengan dukungan internasional pada 2030 dibandingkan skenario bisnis seperti biasa. Angka target dapat diperbarui, sehingga periksalah dokumen resmi terbaru sebelum mengutipnya.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3C8D5A" w:sz="28"/>
              <w:bottom w:val="none" w:color="FFFFFF" w:sz="0"/>
              <w:right w:val="none" w:color="FFFFFF" w:sz="0"/>
            </w:tcBorders>
            <w:shd w:fill="EAF4EC" w:color="auto" w:val="clear"/>
            <w:tcMar>
              <w:top w:type="dxa" w:w="140"/>
              <w:left w:type="dxa" w:w="240"/>
              <w:bottom w:type="dxa" w:w="100"/>
              <w:right w:type="dxa" w:w="220"/>
            </w:tcMar>
          </w:tcPr>
          <w:p>
            <w:pPr>
              <w:keepNext/>
              <w:spacing w:after="80" w:line="260"/>
            </w:pPr>
            <w:r>
              <w:rPr>
                <w:rFonts w:ascii="Calibri" w:cs="Calibri" w:eastAsia="Calibri" w:hAnsi="Calibri"/>
                <w:b/>
                <w:bCs/>
                <w:color w:val="3C8D5A"/>
                <w:sz w:val="22"/>
                <w:szCs w:val="22"/>
              </w:rPr>
              <w:t xml:space="preserve">Mengikat atau Tidak?</w:t>
            </w:r>
          </w:p>
          <w:p>
            <w:pPr>
              <w:spacing w:after="80" w:before="0" w:line="290"/>
              <w:jc w:val="left"/>
            </w:pPr>
            <w:r>
              <w:rPr>
                <w:sz w:val="21"/>
                <w:szCs w:val="21"/>
              </w:rPr>
              <w:t xml:space="preserve">Persetujuan Paris adalah perjanjian yang mengikat secara hukum, tetapi isinya bersifat campuran. Kewajiban prosedural (menyusun, melaporkan, dan memperbarui NDC) mengikat, sementara pencapaian target angka dalam NDC lebih merupakan kewajiban perilaku (upaya terbaik). Perdebatan ini penting karena menentukan kapan sebuah negara dapat dianggap melanggar hukum.</w:t>
            </w:r>
          </w:p>
        </w:tc>
      </w:tr>
    </w:tbl>
    <w:p>
      <w:pPr>
        <w:spacing w:after="160" w:line="200"/>
      </w:pPr>
    </w:p>
    <w:p>
      <w:pPr>
        <w:pStyle w:val="Heading2"/>
        <w:keepNext/>
        <w:spacing w:after="120" w:before="280"/>
      </w:pPr>
      <w:r>
        <w:t xml:space="preserve">C. Ledakan Litigasi dan Pendapat Penasihat</w:t>
      </w:r>
    </w:p>
    <w:p>
      <w:pPr>
        <w:spacing w:after="140" w:before="0" w:line="300"/>
        <w:jc w:val="both"/>
      </w:pPr>
      <w:r>
        <w:rPr>
          <w:sz w:val="22"/>
          <w:szCs w:val="22"/>
        </w:rPr>
        <w:t xml:space="preserve">Karena negosiasi politik sering lambat, gugatan iklim dibawa ke pengadilan. Beberapa tonggak perlu kamu kenal:</w:t>
      </w:r>
    </w:p>
    <w:p>
      <w:pPr>
        <w:pStyle w:val="ListParagraph"/>
        <w:numPr>
          <w:ilvl w:val="0"/>
          <w:numId w:val="2"/>
        </w:numPr>
        <w:spacing w:after="80" w:line="290"/>
        <w:jc w:val="left"/>
      </w:pPr>
      <w:r>
        <w:rPr>
          <w:b/>
          <w:bCs/>
          <w:sz w:val="22"/>
          <w:szCs w:val="22"/>
        </w:rPr>
        <w:t xml:space="preserve">Urgenda (Belanda, 2019)</w:t>
      </w:r>
      <w:r>
        <w:rPr>
          <w:sz w:val="22"/>
          <w:szCs w:val="22"/>
        </w:rPr>
        <w:t xml:space="preserve">: Mahkamah Agung Belanda memerintahkan pemerintah mengurangi emisi minimal 25 persen dari tingkat 1990 pada akhir 2020 berdasarkan kewajiban perlindungan hak hidup dan kehidupan pribadi.</w:t>
      </w:r>
    </w:p>
    <w:p>
      <w:pPr>
        <w:pStyle w:val="ListParagraph"/>
        <w:numPr>
          <w:ilvl w:val="0"/>
          <w:numId w:val="2"/>
        </w:numPr>
        <w:spacing w:after="80" w:line="290"/>
        <w:jc w:val="left"/>
      </w:pPr>
      <w:r>
        <w:rPr>
          <w:b/>
          <w:bCs/>
          <w:sz w:val="22"/>
          <w:szCs w:val="22"/>
        </w:rPr>
        <w:t xml:space="preserve">KlimaSeniorinnen v. Swiss (Pengadilan HAM Eropa, 2024)</w:t>
      </w:r>
      <w:r>
        <w:rPr>
          <w:sz w:val="22"/>
          <w:szCs w:val="22"/>
        </w:rPr>
        <w:t xml:space="preserve">: Pengadilan menyatakan bahwa kegagalan negara menyusun kerangka iklim yang memadai dapat melanggar hak asasi.</w:t>
      </w:r>
    </w:p>
    <w:p>
      <w:pPr>
        <w:pStyle w:val="ListParagraph"/>
        <w:numPr>
          <w:ilvl w:val="0"/>
          <w:numId w:val="2"/>
        </w:numPr>
        <w:spacing w:after="80" w:line="290"/>
        <w:jc w:val="left"/>
      </w:pPr>
      <w:r>
        <w:rPr>
          <w:b/>
          <w:bCs/>
          <w:sz w:val="22"/>
          <w:szCs w:val="22"/>
        </w:rPr>
        <w:t xml:space="preserve">Pendapat penasihat ITLOS (2024)</w:t>
      </w:r>
      <w:r>
        <w:rPr>
          <w:sz w:val="22"/>
          <w:szCs w:val="22"/>
        </w:rPr>
        <w:t xml:space="preserve">: atas permintaan komisi negara-negara kepulauan kecil, Tribunal menyimpulkan bahwa emisi GRK antropogenik termasuk pencemaran lingkungan laut menurut UNCLOS, sehingga negara wajib mengambil langkah untuk mencegah, mengurangi, dan mengendalikannya.</w:t>
      </w:r>
    </w:p>
    <w:p>
      <w:pPr>
        <w:pStyle w:val="ListParagraph"/>
        <w:numPr>
          <w:ilvl w:val="0"/>
          <w:numId w:val="2"/>
        </w:numPr>
        <w:spacing w:after="80" w:line="290"/>
        <w:jc w:val="left"/>
      </w:pPr>
      <w:r>
        <w:rPr>
          <w:b/>
          <w:bCs/>
          <w:sz w:val="22"/>
          <w:szCs w:val="22"/>
        </w:rPr>
        <w:t xml:space="preserve">Pendapat penasihat ICJ (2025)</w:t>
      </w:r>
      <w:r>
        <w:rPr>
          <w:sz w:val="22"/>
          <w:szCs w:val="22"/>
        </w:rPr>
        <w:t xml:space="preserve">: atas inisiatif Vanuatu dan negara-negara lain yang didukung Majelis Umum PBB, ICJ memberikan pendapat tentang kewajiban negara dalam menghadapi perubahan iklim dan akibat hukum bila kewajiban itu dilanggar. Pendapat ini dipandang sebagai rujukan berpengaruh; bacalah teks resminya di situs ICJ dan telaah bagaimana pendapat itu menghubungkan hukum perjanjian iklim, hukum kebiasaan, dan hak asasi manusia.</w:t>
      </w:r>
    </w:p>
    <w:p>
      <w:pPr>
        <w:spacing w:after="8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Kabut Asap Lintas Batas dan Hukum ASEAN</w:t>
            </w:r>
          </w:p>
          <w:p>
            <w:pPr>
              <w:spacing w:after="80" w:before="0" w:line="290"/>
              <w:jc w:val="left"/>
            </w:pPr>
            <w:r>
              <w:rPr>
                <w:sz w:val="21"/>
                <w:szCs w:val="21"/>
              </w:rPr>
              <w:t xml:space="preserve">ASEAN memiliki ASEAN Agreement on Transboundary Haze Pollution (2002) yang mewajibkan negara anggota mencegah dan memantau kebakaran lahan serta mengendalikan asap lintas batas. Indonesia meratifikasinya pada 2014 melalui UU No. 26 Tahun 2014, sebagai salah satu negara ASEAN yang terakhir meratifikasi. Kasus ini menghubungkan prinsip no-harm dengan hukum nasional lingkungan hidup dan penegakan hukum terhadap korporasi. Telaah: apakah kewajiban due diligence negara mencakup pengawasan terhadap perusahaan perkebunan?</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Tahukah Kamu? Dari Pulau Kecil untuk Dunia</w:t>
            </w:r>
          </w:p>
          <w:p>
            <w:pPr>
              <w:spacing w:after="80" w:before="0" w:line="290"/>
              <w:jc w:val="left"/>
            </w:pPr>
            <w:r>
              <w:rPr>
                <w:sz w:val="21"/>
                <w:szCs w:val="21"/>
              </w:rPr>
              <w:t xml:space="preserve">Vanuatu adalah negara kepulauan Pasifik dengan penduduk sekitar tiga ratus ribu jiwa. Namun gagasan membawa isu iklim ke ICJ berasal dari sekelompok mahasiswa hukum di kawasan Pasifik pada 2019 yang kemudian diadopsi pemerintah Vanuatu. Ini menunjukkan bahwa ide mahasiswa dapat menembus meja diplomasi dunia.</w:t>
            </w:r>
          </w:p>
        </w:tc>
      </w:tr>
    </w:tbl>
    <w:p>
      <w:pPr>
        <w:spacing w:after="160" w:line="200"/>
      </w:pP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Prinsip inti hukum lingkungan internasional: no-harm, pencegahan, kehati-hatian, pencemar membayar, pembangunan berkelanjutan, dan CBDR-RC.</w:t>
            </w:r>
          </w:p>
          <w:p>
            <w:pPr>
              <w:pStyle w:val="ListParagraph"/>
              <w:numPr>
                <w:ilvl w:val="0"/>
                <w:numId w:val="2"/>
              </w:numPr>
              <w:spacing w:after="80" w:line="290"/>
              <w:jc w:val="left"/>
            </w:pPr>
            <w:r>
              <w:rPr>
                <w:sz w:val="21"/>
                <w:szCs w:val="21"/>
              </w:rPr>
              <w:t xml:space="preserve">UNFCCC adalah konvensi kerangka, Kyoto menetapkan target mengikat bagi negara maju, dan Persetujuan Paris mengandalkan NDC yang ditentukan nasional.</w:t>
            </w:r>
          </w:p>
          <w:p>
            <w:pPr>
              <w:pStyle w:val="ListParagraph"/>
              <w:numPr>
                <w:ilvl w:val="0"/>
                <w:numId w:val="2"/>
              </w:numPr>
              <w:spacing w:after="80" w:line="290"/>
              <w:jc w:val="left"/>
            </w:pPr>
            <w:r>
              <w:rPr>
                <w:sz w:val="21"/>
                <w:szCs w:val="21"/>
              </w:rPr>
              <w:t xml:space="preserve">Pendapat penasihat ITLOS dan ICJ serta putusan pengadilan domestik memperkuat dimensi hukum krisis iklim.</w:t>
            </w:r>
          </w:p>
          <w:p>
            <w:pPr>
              <w:pStyle w:val="ListParagraph"/>
              <w:numPr>
                <w:ilvl w:val="0"/>
                <w:numId w:val="2"/>
              </w:numPr>
              <w:spacing w:after="80" w:line="290"/>
              <w:jc w:val="left"/>
            </w:pPr>
            <w:r>
              <w:rPr>
                <w:sz w:val="21"/>
                <w:szCs w:val="21"/>
              </w:rPr>
              <w:t xml:space="preserve">Indonesia terikat pada UNFCCC, Kyoto, Persetujuan Paris, dan perjanjian kabut asap ASEAN.</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UNFCCC  •  Persetujuan Paris  •  NDC  •  CBDR-RC  •  loss and damage  •  no-harm  •  precautionary principle  •  litigasi iklim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17"/>
              </w:numPr>
              <w:spacing w:after="80" w:line="290"/>
              <w:jc w:val="left"/>
            </w:pPr>
            <w:r>
              <w:rPr>
                <w:sz w:val="21"/>
                <w:szCs w:val="21"/>
              </w:rPr>
              <w:t xml:space="preserve">Mengapa CBDR-RC dianggap adil bagi sebagian pihak, tetapi problematis bagi yang lain?</w:t>
            </w:r>
          </w:p>
          <w:p>
            <w:pPr>
              <w:pStyle w:val="ListParagraph"/>
              <w:numPr>
                <w:ilvl w:val="0"/>
                <w:numId w:val="17"/>
              </w:numPr>
              <w:spacing w:after="80" w:line="290"/>
              <w:jc w:val="left"/>
            </w:pPr>
            <w:r>
              <w:rPr>
                <w:sz w:val="21"/>
                <w:szCs w:val="21"/>
              </w:rPr>
              <w:t xml:space="preserve">Apakah Persetujuan Paris cukup kuat karena mengandalkan NDC sukarela? Bandingkan dengan pendekatan Kyoto.</w:t>
            </w:r>
          </w:p>
          <w:p>
            <w:pPr>
              <w:pStyle w:val="ListParagraph"/>
              <w:numPr>
                <w:ilvl w:val="0"/>
                <w:numId w:val="17"/>
              </w:numPr>
              <w:spacing w:after="80" w:line="290"/>
              <w:jc w:val="left"/>
            </w:pPr>
            <w:r>
              <w:rPr>
                <w:sz w:val="21"/>
                <w:szCs w:val="21"/>
              </w:rPr>
              <w:t xml:space="preserve">Bagaimana prinsip no-harm dapat dipakai dalam sengketa kabut asap lintas batas?</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Konferensi Iklim Mini (40 menit).</w:t>
            </w:r>
            <w:r>
              <w:rPr>
                <w:sz w:val="21"/>
                <w:szCs w:val="21"/>
              </w:rPr>
              <w:t xml:space="preserve"> Kelas menjadi delegasi COP. Tiap kelompok mewakili sebuah negara (negara industri besar, negara kepulauan kecil, negara berkembang penghasil emisi besar, dan Indonesia) dan bernegosiasi menyusun satu paragraf keputusan tentang pendanaan kerugian dan kerusakan. Tugas akhir: refleksi tertulis tentang kesulitan menyeimbangkan kepentingan.</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"Aku sedang menyusun makalah tentang kewajiban negara di bawah Persetujuan Paris. Buatkan kerangka argumen (outline) yang membedakan kewajiban prosedural dan kewajiban substantif, lalu tunjukkan bagian mana yang perlu kubuktikan dengan sumber primer. Jangan mengarang kutipan; beri tahu jika kamu tidak yakin dengan suatu fakta."</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(bab perlindungan lingkungan); Antonio Cassese, </w:t>
      </w:r>
      <w:r>
        <w:rPr>
          <w:i/>
          <w:iCs/>
          <w:color w:val="595959"/>
          <w:sz w:val="20"/>
          <w:szCs w:val="20"/>
        </w:rPr>
        <w:t xml:space="preserve">International Law</w:t>
      </w:r>
      <w:r>
        <w:rPr>
          <w:color w:val="595959"/>
          <w:sz w:val="20"/>
          <w:szCs w:val="20"/>
        </w:rPr>
        <w:t xml:space="preserve">; Ahmad Syofyan (2022); Arman Anwar dkk. (2021); teks UNFCCC dan Persetujuan Paris.</w:t>
      </w:r>
    </w:p>
    <w:p>
      <w:pPr>
        <w:keepNext/>
        <w:pageBreakBefore/>
        <w:spacing w:after="60"/>
      </w:pPr>
      <w:r>
        <w:rPr>
          <w:rFonts w:ascii="Calibri" w:cs="Calibri" w:eastAsia="Calibri" w:hAnsi="Calibri"/>
          <w:b/>
          <w:bCs/>
          <w:color w:val="B8892B"/>
          <w:spacing w:val="60"/>
          <w:sz w:val="22"/>
          <w:szCs w:val="22"/>
        </w:rPr>
        <w:t xml:space="preserve">BAB 13   |   PERTEMUAN 14</w:t>
      </w:r>
    </w:p>
    <w:p>
      <w:pPr>
        <w:pStyle w:val="Heading1"/>
        <w:keepNext/>
        <w:pBdr>
          <w:bottom w:val="single" w:color="B8892B" w:sz="12" w:space="6"/>
        </w:pBdr>
        <w:spacing w:after="100"/>
      </w:pPr>
      <w:r>
        <w:t xml:space="preserve">Batas Kemanusiaan di Tengah Perang</w:t>
      </w:r>
    </w:p>
    <w:p>
      <w:pPr>
        <w:spacing w:after="200"/>
      </w:pPr>
      <w:r>
        <w:rPr>
          <w:rFonts w:ascii="Cambria" w:cs="Cambria" w:eastAsia="Cambria" w:hAnsi="Cambria"/>
          <w:i/>
          <w:iCs/>
          <w:color w:val="595959"/>
          <w:sz w:val="26"/>
          <w:szCs w:val="26"/>
        </w:rPr>
        <w:t xml:space="preserve">HAM, Konflik Bersenjata, dan Hukum Humaniter Internasional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Bahkan Perang Punya Aturan</w:t>
            </w:r>
          </w:p>
          <w:p>
            <w:pPr>
              <w:spacing w:after="80" w:before="0" w:line="290"/>
              <w:jc w:val="left"/>
            </w:pPr>
            <w:r>
              <w:rPr>
                <w:sz w:val="21"/>
                <w:szCs w:val="21"/>
              </w:rPr>
              <w:t xml:space="preserve">Perang tampak seperti ruang tanpa hukum. Namun bahkan di tengah pertempuran, ada garis yang tak boleh dilewati: rumah sakit tidak boleh diserang sembarangan, tawanan tidak boleh disiksa, warga sipil tidak boleh dijadikan sasaran. Aturan-aturan itu ada dalam hukum humaniter internasional (</w:t>
            </w:r>
            <w:r>
              <w:rPr>
                <w:i/>
                <w:iCs/>
                <w:sz w:val="21"/>
                <w:szCs w:val="21"/>
              </w:rPr>
              <w:t xml:space="preserve">international humanitarian law</w:t>
            </w:r>
            <w:r>
              <w:rPr>
                <w:sz w:val="21"/>
                <w:szCs w:val="21"/>
              </w:rPr>
              <w:t xml:space="preserve">, IHL) dan hak asasi manusia (HAM). Bab ini menunjukkan bagaimana hukum internasional berusaha memanusiakan hal yang paling tidak manusiawi.</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perkembangan dan sumber hukum HAM internasional;</w:t>
            </w:r>
          </w:p>
          <w:p>
            <w:pPr>
              <w:pStyle w:val="ListParagraph"/>
              <w:numPr>
                <w:ilvl w:val="0"/>
                <w:numId w:val="2"/>
              </w:numPr>
              <w:spacing w:after="80" w:line="290"/>
              <w:jc w:val="left"/>
            </w:pPr>
            <w:r>
              <w:rPr>
                <w:sz w:val="21"/>
                <w:szCs w:val="21"/>
              </w:rPr>
              <w:t xml:space="preserve">membedakan jus ad bellum dan jus in bello serta menjelaskan prinsip-prinsip dasar hukum humaniter;</w:t>
            </w:r>
          </w:p>
          <w:p>
            <w:pPr>
              <w:pStyle w:val="ListParagraph"/>
              <w:numPr>
                <w:ilvl w:val="0"/>
                <w:numId w:val="2"/>
              </w:numPr>
              <w:spacing w:after="80" w:line="290"/>
              <w:jc w:val="left"/>
            </w:pPr>
            <w:r>
              <w:rPr>
                <w:sz w:val="21"/>
                <w:szCs w:val="21"/>
              </w:rPr>
              <w:t xml:space="preserve">menjelaskan hubungan HAM dan hukum humaniter;</w:t>
            </w:r>
          </w:p>
          <w:p>
            <w:pPr>
              <w:pStyle w:val="ListParagraph"/>
              <w:numPr>
                <w:ilvl w:val="0"/>
                <w:numId w:val="2"/>
              </w:numPr>
              <w:spacing w:after="80" w:line="290"/>
              <w:jc w:val="left"/>
            </w:pPr>
            <w:r>
              <w:rPr>
                <w:sz w:val="21"/>
                <w:szCs w:val="21"/>
              </w:rPr>
              <w:t xml:space="preserve">menjelaskan kejahatan internasional dan mekanisme pertanggungjawaban pidana, termasuk ICC dan praktik Indonesia.</w:t>
            </w:r>
          </w:p>
        </w:tc>
      </w:tr>
    </w:tbl>
    <w:p>
      <w:pPr>
        <w:spacing w:after="160" w:line="200"/>
      </w:pPr>
    </w:p>
    <w:p>
      <w:pPr>
        <w:pStyle w:val="Heading2"/>
        <w:keepNext/>
        <w:spacing w:after="120" w:before="280"/>
      </w:pPr>
      <w:r>
        <w:t xml:space="preserve">A. HAM Internasional: Dari Deklarasi ke Perjanjian</w:t>
      </w:r>
    </w:p>
    <w:p>
      <w:pPr>
        <w:spacing w:after="140" w:before="0" w:line="300"/>
        <w:jc w:val="both"/>
      </w:pPr>
      <w:r>
        <w:rPr>
          <w:sz w:val="22"/>
          <w:szCs w:val="22"/>
        </w:rPr>
        <w:t xml:space="preserve">Setelah kekejaman Perang Dunia II, komunitas internasional menegaskan bahwa perlakuan negara terhadap warganya adalah urusan internasional. Tonggaknya:</w:t>
      </w:r>
    </w:p>
    <w:p>
      <w:pPr>
        <w:pStyle w:val="ListParagraph"/>
        <w:numPr>
          <w:ilvl w:val="0"/>
          <w:numId w:val="2"/>
        </w:numPr>
        <w:spacing w:after="80" w:line="290"/>
        <w:jc w:val="left"/>
      </w:pPr>
      <w:r>
        <w:rPr>
          <w:b/>
          <w:bCs/>
          <w:sz w:val="22"/>
          <w:szCs w:val="22"/>
        </w:rPr>
        <w:t xml:space="preserve">Deklarasi Universal Hak Asasi Manusia (DUHAM), 10 Desember 1948</w:t>
      </w:r>
      <w:r>
        <w:rPr>
          <w:sz w:val="22"/>
          <w:szCs w:val="22"/>
        </w:rPr>
        <w:t xml:space="preserve">: dokumen non-mengikat yang menjadi sumber inspirasi; sebagian isinya dianggap telah menjadi hukum kebiasaan.</w:t>
      </w:r>
    </w:p>
    <w:p>
      <w:pPr>
        <w:pStyle w:val="ListParagraph"/>
        <w:numPr>
          <w:ilvl w:val="0"/>
          <w:numId w:val="2"/>
        </w:numPr>
        <w:spacing w:after="80" w:line="290"/>
        <w:jc w:val="left"/>
      </w:pPr>
      <w:r>
        <w:rPr>
          <w:b/>
          <w:bCs/>
          <w:sz w:val="22"/>
          <w:szCs w:val="22"/>
        </w:rPr>
        <w:t xml:space="preserve">Kovenan Internasional Hak Sipil dan Politik (ICCPR) dan Kovenan Hak Ekonomi, Sosial, dan Budaya (ICESCR) 1966</w:t>
      </w:r>
      <w:r>
        <w:rPr>
          <w:sz w:val="22"/>
          <w:szCs w:val="22"/>
        </w:rPr>
        <w:t xml:space="preserve">, yang bersama DUHAM disebut Piagam HAM Internasional. Indonesia mengesahkannya melalui UU No. 12 Tahun 2005 dan UU No. 11 Tahun 2005.</w:t>
      </w:r>
    </w:p>
    <w:p>
      <w:pPr>
        <w:pStyle w:val="ListParagraph"/>
        <w:numPr>
          <w:ilvl w:val="0"/>
          <w:numId w:val="2"/>
        </w:numPr>
        <w:spacing w:after="80" w:line="290"/>
        <w:jc w:val="left"/>
      </w:pPr>
      <w:r>
        <w:rPr>
          <w:b/>
          <w:bCs/>
          <w:sz w:val="22"/>
          <w:szCs w:val="22"/>
        </w:rPr>
        <w:t xml:space="preserve">Konvensi tematik</w:t>
      </w:r>
      <w:r>
        <w:rPr>
          <w:sz w:val="22"/>
          <w:szCs w:val="22"/>
        </w:rPr>
        <w:t xml:space="preserve">: antiketiadaan penyiksaan, penghapusan diskriminasi rasial, diskriminasi terhadap perempuan, hak anak, hak penyandang disabilitas, dan lainnya.</w:t>
      </w:r>
    </w:p>
    <w:p>
      <w:pPr>
        <w:pStyle w:val="ListParagraph"/>
        <w:numPr>
          <w:ilvl w:val="0"/>
          <w:numId w:val="2"/>
        </w:numPr>
        <w:spacing w:after="80" w:line="290"/>
        <w:jc w:val="left"/>
      </w:pPr>
      <w:r>
        <w:rPr>
          <w:b/>
          <w:bCs/>
          <w:sz w:val="22"/>
          <w:szCs w:val="22"/>
        </w:rPr>
        <w:t xml:space="preserve">Sistem regional</w:t>
      </w:r>
      <w:r>
        <w:rPr>
          <w:sz w:val="22"/>
          <w:szCs w:val="22"/>
        </w:rPr>
        <w:t xml:space="preserve">: Eropa, Antar-Amerika, dan Afrika memiliki pengadilan atau komisi HAM; ASEAN memiliki AICHR yang mandatnya bersifat promosi dan konsultatif.</w:t>
      </w:r>
    </w:p>
    <w:p>
      <w:pPr>
        <w:spacing w:after="80" w:line="200"/>
      </w:pPr>
    </w:p>
    <w:p>
      <w:pPr>
        <w:spacing w:after="140" w:before="0" w:line="300"/>
        <w:jc w:val="both"/>
      </w:pPr>
      <w:r>
        <w:rPr>
          <w:sz w:val="22"/>
          <w:szCs w:val="22"/>
        </w:rPr>
        <w:t xml:space="preserve">Sebagian hak bersifat mutlak (non-derogable) dan tidak boleh disimpangi bahkan dalam keadaan darurat, misalnya hak hidup, larangan penyiksaan, dan larangan perbudakan. Hak lain dapat dibatasi asalkan sesuai hukum, tujuan yang sah, dan proporsional. Dalam negeri, Indonesia mengaturnya dalam UUD 1945 Bab XA, UU No. 39 Tahun 1999 tentang HAM, dan UU No. 26 Tahun 2000 tentang Pengadilan HAM.</w:t>
      </w:r>
    </w:p>
    <w:p>
      <w:pPr>
        <w:pStyle w:val="Heading2"/>
        <w:keepNext/>
        <w:spacing w:after="120" w:before="280"/>
      </w:pPr>
      <w:r>
        <w:t xml:space="preserve">B. Dua Cabang Hukum Perang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600"/>
        <w:gridCol w:w="3426"/>
      </w:tblGrid>
      <w:tr>
        <w:trPr>
          <w:cantSplit/>
          <w:tblHeader/>
        </w:trPr>
        <w:tc>
          <w:tcPr>
            <w:tcW w:type="dxa" w:w="20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Cabang</w:t>
            </w:r>
          </w:p>
        </w:tc>
        <w:tc>
          <w:tcPr>
            <w:tcW w:type="dxa" w:w="36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Pertanyaan yang Dijawab</w:t>
            </w:r>
          </w:p>
        </w:tc>
        <w:tc>
          <w:tcPr>
            <w:tcW w:type="dxa" w:w="34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Sumber Utama</w:t>
            </w:r>
          </w:p>
        </w:tc>
      </w:tr>
      <w:tr>
        <w:trPr>
          <w:cantSplit/>
        </w:trPr>
        <w:tc>
          <w:tcPr>
            <w:tcW w:type="dxa" w:w="2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Jus ad bellum</w:t>
            </w:r>
          </w:p>
        </w:tc>
        <w:tc>
          <w:tcPr>
            <w:tcW w:type="dxa" w:w="36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Kapan penggunaan kekuatan bersenjata sah?</w:t>
            </w:r>
          </w:p>
        </w:tc>
        <w:tc>
          <w:tcPr>
            <w:tcW w:type="dxa" w:w="34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Pasal 2(4), Pasal 51, dan Bab VII Piagam PBB</w:t>
            </w:r>
          </w:p>
        </w:tc>
      </w:tr>
      <w:tr>
        <w:trPr>
          <w:cantSplit/>
        </w:trPr>
        <w:tc>
          <w:tcPr>
            <w:tcW w:type="dxa" w:w="2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Jus in bello (hukum humaniter)</w:t>
            </w:r>
          </w:p>
        </w:tc>
        <w:tc>
          <w:tcPr>
            <w:tcW w:type="dxa" w:w="36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Bagaimana perang harus dilakukan?</w:t>
            </w:r>
          </w:p>
        </w:tc>
        <w:tc>
          <w:tcPr>
            <w:tcW w:type="dxa" w:w="34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Konvensi Jenewa 1949, Protokol Tambahan 1977, Konvensi Den Haag 1907, kebiasaan</w:t>
            </w:r>
          </w:p>
        </w:tc>
      </w:tr>
    </w:tbl>
    <w:p>
      <w:pPr>
        <w:spacing w:after="160" w:line="200"/>
      </w:pPr>
    </w:p>
    <w:p>
      <w:pPr>
        <w:spacing w:after="140" w:before="0" w:line="300"/>
        <w:jc w:val="both"/>
      </w:pPr>
      <w:r>
        <w:rPr>
          <w:sz w:val="22"/>
          <w:szCs w:val="22"/>
        </w:rPr>
        <w:t xml:space="preserve">Piagam PBB melarang ancaman dan penggunaan kekuatan terhadap negara lain (Pasal 2(4)), dengan dua pengecualian utama: </w:t>
      </w:r>
      <w:r>
        <w:rPr>
          <w:b/>
          <w:bCs/>
          <w:sz w:val="22"/>
          <w:szCs w:val="22"/>
        </w:rPr>
        <w:t xml:space="preserve">pembelaan diri</w:t>
      </w:r>
      <w:r>
        <w:rPr>
          <w:sz w:val="22"/>
          <w:szCs w:val="22"/>
        </w:rPr>
        <w:t xml:space="preserve"> terhadap serangan bersenjata (Pasal 51, hak individual atau kolektif) dan </w:t>
      </w:r>
      <w:r>
        <w:rPr>
          <w:b/>
          <w:bCs/>
          <w:sz w:val="22"/>
          <w:szCs w:val="22"/>
        </w:rPr>
        <w:t xml:space="preserve">tindakan yang diotorisasi Dewan Keamanan</w:t>
      </w:r>
      <w:r>
        <w:rPr>
          <w:sz w:val="22"/>
          <w:szCs w:val="22"/>
        </w:rPr>
        <w:t xml:space="preserve"> berdasarkan Bab VII. Penting: jus in bello berlaku sama bagi semua pihak dalam konflik, tanpa melihat siapa yang benar menurut jus ad bellum.</w:t>
      </w:r>
    </w:p>
    <w:p>
      <w:pPr>
        <w:pStyle w:val="Heading2"/>
        <w:keepNext/>
        <w:spacing w:after="120" w:before="280"/>
      </w:pPr>
      <w:r>
        <w:t xml:space="preserve">C. Empat Konvensi Jenewa dan Prinsip Dasar IHL</w:t>
      </w:r>
    </w:p>
    <w:p>
      <w:pPr>
        <w:spacing w:after="140" w:before="0" w:line="300"/>
        <w:jc w:val="both"/>
      </w:pPr>
      <w:r>
        <w:rPr>
          <w:sz w:val="22"/>
          <w:szCs w:val="22"/>
        </w:rPr>
        <w:t xml:space="preserve">Konvensi Jenewa 1949 terdiri atas empat perjanjian: (I) perlindungan korban luka dan sakit di darat, (II) korban luka, sakit, dan karam di laut, (III) perlakuan terhadap tawanan perang, dan (IV) perlindungan orang sipil. Konvensi ini diperluas dengan Protokol Tambahan I dan II (1977), yang mengatur konflik bersenjata internasional dan non-internasional, dan Protokol Tambahan III (2005) tentang lambang. Pasal 3 yang sama dalam keempat konvensi mengatur standar minimum pada konflik non-internasional. Indonesia meratifikasi Konvensi Jenewa 1949 melalui UU No. 59 Tahun 1958.</w:t>
      </w:r>
    </w:p>
    <w:p>
      <w:pPr>
        <w:spacing w:after="140" w:before="0" w:line="300"/>
        <w:jc w:val="both"/>
      </w:pPr>
      <w:r>
        <w:rPr>
          <w:sz w:val="22"/>
          <w:szCs w:val="22"/>
        </w:rPr>
        <w:t xml:space="preserve">Prinsip yang menjadi jantung IHL:</w:t>
      </w:r>
    </w:p>
    <w:p>
      <w:pPr>
        <w:pStyle w:val="ListParagraph"/>
        <w:numPr>
          <w:ilvl w:val="0"/>
          <w:numId w:val="18"/>
        </w:numPr>
        <w:spacing w:after="80" w:line="290"/>
        <w:jc w:val="left"/>
      </w:pPr>
      <w:r>
        <w:rPr>
          <w:b/>
          <w:bCs/>
          <w:sz w:val="22"/>
          <w:szCs w:val="22"/>
        </w:rPr>
        <w:t xml:space="preserve">Pembedaan (distinction)</w:t>
      </w:r>
      <w:r>
        <w:rPr>
          <w:sz w:val="22"/>
          <w:szCs w:val="22"/>
        </w:rPr>
        <w:t xml:space="preserve">: pihak bertikai harus membedakan kombatan dan warga sipil, serta objek militer dan objek sipil. Serangan hanya boleh diarahkan pada sasaran militer.</w:t>
      </w:r>
    </w:p>
    <w:p>
      <w:pPr>
        <w:pStyle w:val="ListParagraph"/>
        <w:numPr>
          <w:ilvl w:val="0"/>
          <w:numId w:val="18"/>
        </w:numPr>
        <w:spacing w:after="80" w:line="290"/>
        <w:jc w:val="left"/>
      </w:pPr>
      <w:r>
        <w:rPr>
          <w:b/>
          <w:bCs/>
          <w:sz w:val="22"/>
          <w:szCs w:val="22"/>
        </w:rPr>
        <w:t xml:space="preserve">Proporsionalitas</w:t>
      </w:r>
      <w:r>
        <w:rPr>
          <w:sz w:val="22"/>
          <w:szCs w:val="22"/>
        </w:rPr>
        <w:t xml:space="preserve">: dilarang serangan yang diperkirakan menimbulkan kerugian sipil berlebihan dibandingkan keuntungan militer yang konkret dan langsung.</w:t>
      </w:r>
    </w:p>
    <w:p>
      <w:pPr>
        <w:pStyle w:val="ListParagraph"/>
        <w:numPr>
          <w:ilvl w:val="0"/>
          <w:numId w:val="18"/>
        </w:numPr>
        <w:spacing w:after="80" w:line="290"/>
        <w:jc w:val="left"/>
      </w:pPr>
      <w:r>
        <w:rPr>
          <w:b/>
          <w:bCs/>
          <w:sz w:val="22"/>
          <w:szCs w:val="22"/>
        </w:rPr>
        <w:t xml:space="preserve">Tindakan pencegahan (precaution)</w:t>
      </w:r>
      <w:r>
        <w:rPr>
          <w:sz w:val="22"/>
          <w:szCs w:val="22"/>
        </w:rPr>
        <w:t xml:space="preserve">: wajib mengambil semua langkah yang layak untuk menghindari atau meminimalkan korban sipil.</w:t>
      </w:r>
    </w:p>
    <w:p>
      <w:pPr>
        <w:pStyle w:val="ListParagraph"/>
        <w:numPr>
          <w:ilvl w:val="0"/>
          <w:numId w:val="18"/>
        </w:numPr>
        <w:spacing w:after="80" w:line="290"/>
        <w:jc w:val="left"/>
      </w:pPr>
      <w:r>
        <w:rPr>
          <w:b/>
          <w:bCs/>
          <w:sz w:val="22"/>
          <w:szCs w:val="22"/>
        </w:rPr>
        <w:t xml:space="preserve">Kebutuhan militer (military necessity)</w:t>
      </w:r>
      <w:r>
        <w:rPr>
          <w:sz w:val="22"/>
          <w:szCs w:val="22"/>
        </w:rPr>
        <w:t xml:space="preserve">: hanya kekuatan yang diperlukan untuk mencapai tujuan militer sah yang diperbolehkan.</w:t>
      </w:r>
    </w:p>
    <w:p>
      <w:pPr>
        <w:pStyle w:val="ListParagraph"/>
        <w:numPr>
          <w:ilvl w:val="0"/>
          <w:numId w:val="18"/>
        </w:numPr>
        <w:spacing w:after="80" w:line="290"/>
        <w:jc w:val="left"/>
      </w:pPr>
      <w:r>
        <w:rPr>
          <w:b/>
          <w:bCs/>
          <w:sz w:val="22"/>
          <w:szCs w:val="22"/>
        </w:rPr>
        <w:t xml:space="preserve">Kemanusiaan</w:t>
      </w:r>
      <w:r>
        <w:rPr>
          <w:sz w:val="22"/>
          <w:szCs w:val="22"/>
        </w:rPr>
        <w:t xml:space="preserve">: dilarang menimbulkan penderitaan yang tidak perlu (</w:t>
      </w:r>
      <w:r>
        <w:rPr>
          <w:i/>
          <w:iCs/>
          <w:sz w:val="22"/>
          <w:szCs w:val="22"/>
        </w:rPr>
        <w:t xml:space="preserve">Klausul Martens</w:t>
      </w:r>
      <w:r>
        <w:rPr>
          <w:sz w:val="22"/>
          <w:szCs w:val="22"/>
        </w:rPr>
        <w:t xml:space="preserve"> juga melindungi bila aturan tertulis tidak ada).</w:t>
      </w:r>
    </w:p>
    <w:p>
      <w:pPr>
        <w:spacing w:after="80" w:line="200"/>
      </w:pPr>
    </w:p>
    <w:p>
      <w:pPr>
        <w:pStyle w:val="Heading2"/>
        <w:keepNext/>
        <w:spacing w:after="120" w:before="280"/>
      </w:pPr>
      <w:r>
        <w:t xml:space="preserve">D. Hubungan HAM dan Hukum Humaniter</w:t>
      </w:r>
    </w:p>
    <w:p>
      <w:pPr>
        <w:spacing w:after="140" w:before="0" w:line="300"/>
        <w:jc w:val="both"/>
      </w:pPr>
      <w:r>
        <w:rPr>
          <w:sz w:val="22"/>
          <w:szCs w:val="22"/>
        </w:rPr>
        <w:t xml:space="preserve">Keduanya bertujuan melindungi manusia, tetapi bekerja pada situasi berbeda: HAM berlaku terutama dalam masa damai dan tetap berlaku saat perang, sedangkan IHL hanya berlaku dalam konflik bersenjata. Dalam </w:t>
      </w:r>
      <w:r>
        <w:rPr>
          <w:i/>
          <w:iCs/>
          <w:sz w:val="22"/>
          <w:szCs w:val="22"/>
        </w:rPr>
        <w:t xml:space="preserve">Nuclear Weapons</w:t>
      </w:r>
      <w:r>
        <w:rPr>
          <w:sz w:val="22"/>
          <w:szCs w:val="22"/>
        </w:rPr>
        <w:t xml:space="preserve"> (Pendapat Penasihat, 1996), ICJ menyatakan bahwa HAM tetap berlaku dalam perang, tetapi penilaian apakah suatu penghilangan nyawa dilakukan secara sewenang-wenang ditentukan oleh IHL sebagai </w:t>
      </w:r>
      <w:r>
        <w:rPr>
          <w:i/>
          <w:iCs/>
          <w:sz w:val="22"/>
          <w:szCs w:val="22"/>
        </w:rPr>
        <w:t xml:space="preserve">lex specialis</w:t>
      </w:r>
      <w:r>
        <w:rPr>
          <w:sz w:val="22"/>
          <w:szCs w:val="22"/>
        </w:rPr>
        <w:t xml:space="preserve">.</w:t>
      </w:r>
    </w:p>
    <w:p>
      <w:pPr>
        <w:pStyle w:val="Heading2"/>
        <w:keepNext/>
        <w:spacing w:after="120" w:before="280"/>
      </w:pPr>
      <w:r>
        <w:t xml:space="preserve">E. Kejahatan Internasional dan Pertanggungjawaban Pidana</w:t>
      </w:r>
    </w:p>
    <w:p>
      <w:pPr>
        <w:spacing w:after="140" w:before="0" w:line="300"/>
        <w:jc w:val="both"/>
      </w:pPr>
      <w:r>
        <w:rPr>
          <w:sz w:val="22"/>
          <w:szCs w:val="22"/>
        </w:rPr>
        <w:t xml:space="preserve">Setelah Nuremberg dan Tokyo, dunia membentuk pengadilan </w:t>
      </w:r>
      <w:r>
        <w:rPr>
          <w:i/>
          <w:iCs/>
          <w:sz w:val="22"/>
          <w:szCs w:val="22"/>
        </w:rPr>
        <w:t xml:space="preserve">ad hoc</w:t>
      </w:r>
      <w:r>
        <w:rPr>
          <w:sz w:val="22"/>
          <w:szCs w:val="22"/>
        </w:rPr>
        <w:t xml:space="preserve"> seperti ICTY (bekas Yugoslavia, 1993) dan ICTR (Rwanda, 1994), kemudian </w:t>
      </w:r>
      <w:r>
        <w:rPr>
          <w:b/>
          <w:bCs/>
          <w:sz w:val="22"/>
          <w:szCs w:val="22"/>
        </w:rPr>
        <w:t xml:space="preserve">Mahkamah Pidana Internasional (ICC)</w:t>
      </w:r>
      <w:r>
        <w:rPr>
          <w:sz w:val="22"/>
          <w:szCs w:val="22"/>
        </w:rPr>
        <w:t xml:space="preserve">. Statuta Roma diadopsi pada 17 Juli 1998 dan berlaku 1 Juli 2002. ICC berkedudukan di Den Haag dan memiliki yurisdiksi atas empat kejahatan inti:</w:t>
      </w:r>
    </w:p>
    <w:p>
      <w:pPr>
        <w:pStyle w:val="ListParagraph"/>
        <w:numPr>
          <w:ilvl w:val="0"/>
          <w:numId w:val="2"/>
        </w:numPr>
        <w:spacing w:after="80" w:line="290"/>
        <w:jc w:val="left"/>
      </w:pPr>
      <w:r>
        <w:rPr>
          <w:b/>
          <w:bCs/>
          <w:sz w:val="22"/>
          <w:szCs w:val="22"/>
        </w:rPr>
        <w:t xml:space="preserve">genosida</w:t>
      </w:r>
      <w:r>
        <w:rPr>
          <w:sz w:val="22"/>
          <w:szCs w:val="22"/>
        </w:rPr>
        <w:t xml:space="preserve">: tindakan dengan maksud menghancurkan seluruh atau sebagian kelompok nasional, etnis, ras, atau agama;</w:t>
      </w:r>
    </w:p>
    <w:p>
      <w:pPr>
        <w:pStyle w:val="ListParagraph"/>
        <w:numPr>
          <w:ilvl w:val="0"/>
          <w:numId w:val="2"/>
        </w:numPr>
        <w:spacing w:after="80" w:line="290"/>
        <w:jc w:val="left"/>
      </w:pPr>
      <w:r>
        <w:rPr>
          <w:b/>
          <w:bCs/>
          <w:sz w:val="22"/>
          <w:szCs w:val="22"/>
        </w:rPr>
        <w:t xml:space="preserve">kejahatan terhadap kemanusiaan</w:t>
      </w:r>
      <w:r>
        <w:rPr>
          <w:sz w:val="22"/>
          <w:szCs w:val="22"/>
        </w:rPr>
        <w:t xml:space="preserve">: serangan meluas atau sistematis terhadap penduduk sipil;</w:t>
      </w:r>
    </w:p>
    <w:p>
      <w:pPr>
        <w:pStyle w:val="ListParagraph"/>
        <w:numPr>
          <w:ilvl w:val="0"/>
          <w:numId w:val="2"/>
        </w:numPr>
        <w:spacing w:after="80" w:line="290"/>
        <w:jc w:val="left"/>
      </w:pPr>
      <w:r>
        <w:rPr>
          <w:b/>
          <w:bCs/>
          <w:sz w:val="22"/>
          <w:szCs w:val="22"/>
        </w:rPr>
        <w:t xml:space="preserve">kejahatan perang</w:t>
      </w:r>
      <w:r>
        <w:rPr>
          <w:sz w:val="22"/>
          <w:szCs w:val="22"/>
        </w:rPr>
        <w:t xml:space="preserve">: pelanggaran berat hukum humaniter;</w:t>
      </w:r>
    </w:p>
    <w:p>
      <w:pPr>
        <w:pStyle w:val="ListParagraph"/>
        <w:numPr>
          <w:ilvl w:val="0"/>
          <w:numId w:val="2"/>
        </w:numPr>
        <w:spacing w:after="80" w:line="290"/>
        <w:jc w:val="left"/>
      </w:pPr>
      <w:r>
        <w:rPr>
          <w:b/>
          <w:bCs/>
          <w:sz w:val="22"/>
          <w:szCs w:val="22"/>
        </w:rPr>
        <w:t xml:space="preserve">kejahatan agresi</w:t>
      </w:r>
      <w:r>
        <w:rPr>
          <w:sz w:val="22"/>
          <w:szCs w:val="22"/>
        </w:rPr>
        <w:t xml:space="preserve">, dengan syarat yurisdiksi yang khusus.</w:t>
      </w:r>
    </w:p>
    <w:p>
      <w:pPr>
        <w:spacing w:after="80" w:line="200"/>
      </w:pPr>
    </w:p>
    <w:p>
      <w:pPr>
        <w:spacing w:after="140" w:before="0" w:line="300"/>
        <w:jc w:val="both"/>
      </w:pPr>
      <w:r>
        <w:rPr>
          <w:sz w:val="22"/>
          <w:szCs w:val="22"/>
        </w:rPr>
        <w:t xml:space="preserve">ICC berlandaskan asas </w:t>
      </w:r>
      <w:r>
        <w:rPr>
          <w:b/>
          <w:bCs/>
          <w:sz w:val="22"/>
          <w:szCs w:val="22"/>
        </w:rPr>
        <w:t xml:space="preserve">komplementaritas</w:t>
      </w:r>
      <w:r>
        <w:rPr>
          <w:sz w:val="22"/>
          <w:szCs w:val="22"/>
        </w:rPr>
        <w:t xml:space="preserve">: ICC hanya bertindak bila negara tidak mau (</w:t>
      </w:r>
      <w:r>
        <w:rPr>
          <w:i/>
          <w:iCs/>
          <w:sz w:val="22"/>
          <w:szCs w:val="22"/>
        </w:rPr>
        <w:t xml:space="preserve">unwilling</w:t>
      </w:r>
      <w:r>
        <w:rPr>
          <w:sz w:val="22"/>
          <w:szCs w:val="22"/>
        </w:rPr>
        <w:t xml:space="preserve">) atau tidak mampu (</w:t>
      </w:r>
      <w:r>
        <w:rPr>
          <w:i/>
          <w:iCs/>
          <w:sz w:val="22"/>
          <w:szCs w:val="22"/>
        </w:rPr>
        <w:t xml:space="preserve">unable</w:t>
      </w:r>
      <w:r>
        <w:rPr>
          <w:sz w:val="22"/>
          <w:szCs w:val="22"/>
        </w:rPr>
        <w:t xml:space="preserve">) menyelidiki dan mengadili. Yurisdiksinya juga bergantung pada persetujuan, sehingga negara yang belum menjadi pihak Statuta Roma, termasuk Indonesia, pada umumnya tidak berada di bawah yurisdiksinya kecuali kejahatan terjadi di wilayah negara pihak atau ada rujukan Dewan Keamanan. Di Indonesia, UU No. 26 Tahun 2000 mengatur pengadilan HAM untuk genosida dan kejahatan terhadap kemanusiaan.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Kasus yang Perlu Kamu Pantau</w:t>
            </w:r>
          </w:p>
          <w:p>
            <w:pPr>
              <w:spacing w:after="80" w:before="0" w:line="290"/>
              <w:jc w:val="left"/>
            </w:pPr>
            <w:r>
              <w:rPr>
                <w:sz w:val="21"/>
                <w:szCs w:val="21"/>
              </w:rPr>
              <w:t xml:space="preserve">Beberapa perkara di ICJ menggunakan Konvensi Genosida sebagai dasar gugatan antarnegara, antara lain </w:t>
            </w:r>
            <w:r>
              <w:rPr>
                <w:i/>
                <w:iCs/>
                <w:sz w:val="21"/>
                <w:szCs w:val="21"/>
              </w:rPr>
              <w:t xml:space="preserve">Gambia v. Myanmar</w:t>
            </w:r>
            <w:r>
              <w:rPr>
                <w:sz w:val="21"/>
                <w:szCs w:val="21"/>
              </w:rPr>
              <w:t xml:space="preserve"> (2019), </w:t>
            </w:r>
            <w:r>
              <w:rPr>
                <w:i/>
                <w:iCs/>
                <w:sz w:val="21"/>
                <w:szCs w:val="21"/>
              </w:rPr>
              <w:t xml:space="preserve">Ukraina v. Rusia</w:t>
            </w:r>
            <w:r>
              <w:rPr>
                <w:sz w:val="21"/>
                <w:szCs w:val="21"/>
              </w:rPr>
              <w:t xml:space="preserve"> (2022), dan </w:t>
            </w:r>
            <w:r>
              <w:rPr>
                <w:i/>
                <w:iCs/>
                <w:sz w:val="21"/>
                <w:szCs w:val="21"/>
              </w:rPr>
              <w:t xml:space="preserve">Afrika Selatan v. Israel</w:t>
            </w:r>
            <w:r>
              <w:rPr>
                <w:sz w:val="21"/>
                <w:szCs w:val="21"/>
              </w:rPr>
              <w:t xml:space="preserve"> (2023). Perkara </w:t>
            </w:r>
            <w:r>
              <w:rPr>
                <w:i/>
                <w:iCs/>
                <w:sz w:val="21"/>
                <w:szCs w:val="21"/>
              </w:rPr>
              <w:t xml:space="preserve">Gambia v. Myanmar</w:t>
            </w:r>
            <w:r>
              <w:rPr>
                <w:sz w:val="21"/>
                <w:szCs w:val="21"/>
              </w:rPr>
              <w:t xml:space="preserve"> penting karena menunjukkan bahwa negara yang tidak terkena langsung pun dapat menggugat berdasarkan kewajiban erga omnes partes. Karena perkara-perkara ini terus berkembang, kamu ditugaskan membaca perintah dan putusan resminya dari situs ICJ, membedakan tahap provisional measures, yurisdiksi, dan pokok perkara, tanpa mencampuradukkannya dengan opini politik.</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Tahukah Kamu? Palang Merah, Penjaga Konvensi</w:t>
            </w:r>
          </w:p>
          <w:p>
            <w:pPr>
              <w:spacing w:after="80" w:before="0" w:line="290"/>
              <w:jc w:val="left"/>
            </w:pPr>
            <w:r>
              <w:rPr>
                <w:sz w:val="21"/>
                <w:szCs w:val="21"/>
              </w:rPr>
              <w:t xml:space="preserve">ICRC didirikan di Jenewa pada 1863 setelah Henri Dunant menyaksikan penderitaan korban Pertempuran Solferino (1859). Lambang palang merah, bulan sabit merah, dan kristal merah dilindungi hukum, dan penyalahgunaannya (perfidy) merupakan pelanggaran hukum humaniter. Di Indonesia, Palang Merah Indonesia (PMI) berperan sebagai perhimpunan nasional.</w:t>
            </w:r>
          </w:p>
        </w:tc>
      </w:tr>
    </w:tbl>
    <w:p>
      <w:pPr>
        <w:spacing w:after="160" w:line="200"/>
      </w:pP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HAM internasional berkembang dari DUHAM 1948 ke kovenan dan konvensi tematik yang mengikat; sebagian hak bersifat mutlak.</w:t>
            </w:r>
          </w:p>
          <w:p>
            <w:pPr>
              <w:pStyle w:val="ListParagraph"/>
              <w:numPr>
                <w:ilvl w:val="0"/>
                <w:numId w:val="2"/>
              </w:numPr>
              <w:spacing w:after="80" w:line="290"/>
              <w:jc w:val="left"/>
            </w:pPr>
            <w:r>
              <w:rPr>
                <w:sz w:val="21"/>
                <w:szCs w:val="21"/>
              </w:rPr>
              <w:t xml:space="preserve">Jus ad bellum mengatur sah tidaknya penggunaan kekuatan; jus in bello mengatur cara berperang dan berlaku sama bagi semua pihak.</w:t>
            </w:r>
          </w:p>
          <w:p>
            <w:pPr>
              <w:pStyle w:val="ListParagraph"/>
              <w:numPr>
                <w:ilvl w:val="0"/>
                <w:numId w:val="2"/>
              </w:numPr>
              <w:spacing w:after="80" w:line="290"/>
              <w:jc w:val="left"/>
            </w:pPr>
            <w:r>
              <w:rPr>
                <w:sz w:val="21"/>
                <w:szCs w:val="21"/>
              </w:rPr>
              <w:t xml:space="preserve">Prinsip IHL: pembedaan, proporsionalitas, pencegahan, kebutuhan militer, dan kemanusiaan.</w:t>
            </w:r>
          </w:p>
          <w:p>
            <w:pPr>
              <w:pStyle w:val="ListParagraph"/>
              <w:numPr>
                <w:ilvl w:val="0"/>
                <w:numId w:val="2"/>
              </w:numPr>
              <w:spacing w:after="80" w:line="290"/>
              <w:jc w:val="left"/>
            </w:pPr>
            <w:r>
              <w:rPr>
                <w:sz w:val="21"/>
                <w:szCs w:val="21"/>
              </w:rPr>
              <w:t xml:space="preserve">ICC menangani genosida, kejahatan terhadap kemanusiaan, kejahatan perang, dan agresi berdasarkan prinsip komplementaritas.</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DUHAM  •  ICCPR  •  jus ad bellum  •  jus in bello  •  Konvensi Jenewa  •  distinction  •  proportionality  •  ICC  •  komplementaritas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19"/>
              </w:numPr>
              <w:spacing w:after="80" w:line="290"/>
              <w:jc w:val="left"/>
            </w:pPr>
            <w:r>
              <w:rPr>
                <w:sz w:val="21"/>
                <w:szCs w:val="21"/>
              </w:rPr>
              <w:t xml:space="preserve">Mengapa jus in bello berlaku sama bagi pihak yang menyerang maupun yang membela diri?</w:t>
            </w:r>
          </w:p>
          <w:p>
            <w:pPr>
              <w:pStyle w:val="ListParagraph"/>
              <w:numPr>
                <w:ilvl w:val="0"/>
                <w:numId w:val="19"/>
              </w:numPr>
              <w:spacing w:after="80" w:line="290"/>
              <w:jc w:val="left"/>
            </w:pPr>
            <w:r>
              <w:rPr>
                <w:sz w:val="21"/>
                <w:szCs w:val="21"/>
              </w:rPr>
              <w:t xml:space="preserve">Jelaskan bagaimana prinsip pembedaan dan proporsionalitas diterapkan dalam serangan terhadap objek berfungsi ganda (misalnya jembatan yang dipakai sipil dan militer).</w:t>
            </w:r>
          </w:p>
          <w:p>
            <w:pPr>
              <w:pStyle w:val="ListParagraph"/>
              <w:numPr>
                <w:ilvl w:val="0"/>
                <w:numId w:val="19"/>
              </w:numPr>
              <w:spacing w:after="80" w:line="290"/>
              <w:jc w:val="left"/>
            </w:pPr>
            <w:r>
              <w:rPr>
                <w:sz w:val="21"/>
                <w:szCs w:val="21"/>
              </w:rPr>
              <w:t xml:space="preserve">Mengapa Indonesia belum menjadi pihak Statuta Roma dan apa argumen yang mendukung maupun menolak ratifikasi?</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Kasus Klinis IHL (35 menit).</w:t>
            </w:r>
            <w:r>
              <w:rPr>
                <w:sz w:val="21"/>
                <w:szCs w:val="21"/>
              </w:rPr>
              <w:t xml:space="preserve"> Dosen menyajikan tiga skenario: serangan terhadap gudang yang juga menampung pengungsi, perlakuan terhadap tawanan, dan penggunaan lambang palang merah untuk menutupi pergerakan pasukan. Kelompok menganalisis tiap skenario dengan lima prinsip IHL, lalu menyimpulkan apakah ada pelanggaran.</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"Jelaskan prinsip pembedaan dan proporsionalitas dalam hukum humaniter dengan contoh hipotetis yang tidak menyebut konflik nyata. Lalu tantang aku dengan dilema: apakah serangan tertentu sah, dan minta aku menjelaskan alasannya. Koreksi penalaranku secara bertahap."</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Antonio Cassese, </w:t>
      </w:r>
      <w:r>
        <w:rPr>
          <w:i/>
          <w:iCs/>
          <w:color w:val="595959"/>
          <w:sz w:val="20"/>
          <w:szCs w:val="20"/>
        </w:rPr>
        <w:t xml:space="preserve">International Law</w:t>
      </w:r>
      <w:r>
        <w:rPr>
          <w:color w:val="595959"/>
          <w:sz w:val="20"/>
          <w:szCs w:val="20"/>
        </w:rPr>
        <w:t xml:space="preserve"> (bagian HAM dan hukum pidana internasional); Malcolm N. Shaw, </w:t>
      </w:r>
      <w:r>
        <w:rPr>
          <w:i/>
          <w:iCs/>
          <w:color w:val="595959"/>
          <w:sz w:val="20"/>
          <w:szCs w:val="20"/>
        </w:rPr>
        <w:t xml:space="preserve">International Law</w:t>
      </w:r>
      <w:r>
        <w:rPr>
          <w:color w:val="595959"/>
          <w:sz w:val="20"/>
          <w:szCs w:val="20"/>
        </w:rPr>
        <w:t xml:space="preserve">; Boer Mauna, </w:t>
      </w:r>
      <w:r>
        <w:rPr>
          <w:i/>
          <w:iCs/>
          <w:color w:val="595959"/>
          <w:sz w:val="20"/>
          <w:szCs w:val="20"/>
        </w:rPr>
        <w:t xml:space="preserve">Hukum Internasional</w:t>
      </w:r>
      <w:r>
        <w:rPr>
          <w:color w:val="595959"/>
          <w:sz w:val="20"/>
          <w:szCs w:val="20"/>
        </w:rPr>
        <w:t xml:space="preserve">; Arman Anwar dkk. (2021); teks Konvensi Jenewa 1949 dan Statuta Roma.</w:t>
      </w:r>
    </w:p>
    <w:p>
      <w:pPr>
        <w:keepNext/>
        <w:pageBreakBefore/>
        <w:spacing w:after="60"/>
      </w:pPr>
      <w:r>
        <w:rPr>
          <w:rFonts w:ascii="Calibri" w:cs="Calibri" w:eastAsia="Calibri" w:hAnsi="Calibri"/>
          <w:b/>
          <w:bCs/>
          <w:color w:val="B8892B"/>
          <w:spacing w:val="60"/>
          <w:sz w:val="22"/>
          <w:szCs w:val="22"/>
        </w:rPr>
        <w:t xml:space="preserve">BAB 14   |   PERTEMUAN 15</w:t>
      </w:r>
    </w:p>
    <w:p>
      <w:pPr>
        <w:pStyle w:val="Heading1"/>
        <w:keepNext/>
        <w:pBdr>
          <w:bottom w:val="single" w:color="B8892B" w:sz="12" w:space="6"/>
        </w:pBdr>
        <w:spacing w:after="100"/>
      </w:pPr>
      <w:r>
        <w:t xml:space="preserve">Perang, Data, dan Algoritma: Hukum di Ruang Tanpa Batas</w:t>
      </w:r>
    </w:p>
    <w:p>
      <w:pPr>
        <w:spacing w:after="200"/>
      </w:pPr>
      <w:r>
        <w:rPr>
          <w:rFonts w:ascii="Cambria" w:cs="Cambria" w:eastAsia="Cambria" w:hAnsi="Cambria"/>
          <w:i/>
          <w:iCs/>
          <w:color w:val="595959"/>
          <w:sz w:val="26"/>
          <w:szCs w:val="26"/>
        </w:rPr>
        <w:t xml:space="preserve">Hukum Internasional di Era Digital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C9832B" w:sz="28"/>
              <w:bottom w:val="none" w:color="FFFFFF" w:sz="0"/>
              <w:right w:val="none" w:color="FFFFFF" w:sz="0"/>
            </w:tcBorders>
            <w:shd w:fill="FDF3E1" w:color="auto" w:val="clear"/>
            <w:tcMar>
              <w:top w:type="dxa" w:w="140"/>
              <w:left w:type="dxa" w:w="240"/>
              <w:bottom w:type="dxa" w:w="100"/>
              <w:right w:type="dxa" w:w="220"/>
            </w:tcMar>
          </w:tcPr>
          <w:p>
            <w:pPr>
              <w:keepNext/>
              <w:spacing w:after="80" w:line="260"/>
            </w:pPr>
            <w:r>
              <w:rPr>
                <w:rFonts w:ascii="Calibri" w:cs="Calibri" w:eastAsia="Calibri" w:hAnsi="Calibri"/>
                <w:b/>
                <w:bCs/>
                <w:color w:val="C9832B"/>
                <w:sz w:val="22"/>
                <w:szCs w:val="22"/>
              </w:rPr>
              <w:t xml:space="preserve">PEMBUKA: Serangan Tanpa Peluru</w:t>
            </w:r>
          </w:p>
          <w:p>
            <w:pPr>
              <w:spacing w:after="80" w:before="0" w:line="290"/>
              <w:jc w:val="left"/>
            </w:pPr>
            <w:r>
              <w:rPr>
                <w:sz w:val="21"/>
                <w:szCs w:val="21"/>
              </w:rPr>
              <w:t xml:space="preserve">Pada April-Mei 2007, situs pemerintah, bank, dan media di Estonia dibanjiri lalu lintas data hingga lumpuh selama berhari-hari. Tidak ada tentara yang melintasi perbatasan, tidak ada satu peluru pun ditembakkan. Apakah itu serangan bersenjata? Siapa yang bertanggung jawab? Bolehkah Estonia membalas? Peristiwa ini membuka era baru: pertanyaan lama hukum internasional tentang kedaulatan, penggunaan kekerasan, dan tanggung jawab negara harus dijawab di ruang siber yang tidak mengenal peta.</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F3A5F" w:sz="28"/>
              <w:bottom w:val="none" w:color="FFFFFF" w:sz="0"/>
              <w:right w:val="none" w:color="FFFFFF" w:sz="0"/>
            </w:tcBorders>
            <w:shd w:fill="E9F0F8" w:color="auto" w:val="clear"/>
            <w:tcMar>
              <w:top w:type="dxa" w:w="140"/>
              <w:left w:type="dxa" w:w="240"/>
              <w:bottom w:type="dxa" w:w="100"/>
              <w:right w:type="dxa" w:w="220"/>
            </w:tcMar>
          </w:tcPr>
          <w:p>
            <w:pPr>
              <w:keepNext/>
              <w:spacing w:after="80" w:line="260"/>
            </w:pPr>
            <w:r>
              <w:rPr>
                <w:rFonts w:ascii="Calibri" w:cs="Calibri" w:eastAsia="Calibri" w:hAnsi="Calibri"/>
                <w:b/>
                <w:bCs/>
                <w:color w:val="1F3A5F"/>
                <w:sz w:val="22"/>
                <w:szCs w:val="22"/>
              </w:rPr>
              <w:t xml:space="preserve">TUJUAN PEMBELAJARAN</w:t>
            </w:r>
          </w:p>
          <w:p>
            <w:pPr>
              <w:spacing w:after="80" w:before="0" w:line="290"/>
              <w:jc w:val="left"/>
            </w:pPr>
            <w:r>
              <w:rPr>
                <w:sz w:val="21"/>
                <w:szCs w:val="21"/>
              </w:rPr>
              <w:t xml:space="preserve">Setelah mempelajari bab ini, kamu mampu:</w:t>
            </w:r>
          </w:p>
          <w:p>
            <w:pPr>
              <w:pStyle w:val="ListParagraph"/>
              <w:numPr>
                <w:ilvl w:val="0"/>
                <w:numId w:val="2"/>
              </w:numPr>
              <w:spacing w:after="80" w:line="290"/>
              <w:jc w:val="left"/>
            </w:pPr>
            <w:r>
              <w:rPr>
                <w:sz w:val="21"/>
                <w:szCs w:val="21"/>
              </w:rPr>
              <w:t xml:space="preserve">menjelaskan bagaimana hukum internasional berlaku di ruang siber;</w:t>
            </w:r>
          </w:p>
          <w:p>
            <w:pPr>
              <w:pStyle w:val="ListParagraph"/>
              <w:numPr>
                <w:ilvl w:val="0"/>
                <w:numId w:val="2"/>
              </w:numPr>
              <w:spacing w:after="80" w:line="290"/>
              <w:jc w:val="left"/>
            </w:pPr>
            <w:r>
              <w:rPr>
                <w:sz w:val="21"/>
                <w:szCs w:val="21"/>
              </w:rPr>
              <w:t xml:space="preserve">menganalisis isu kedaulatan, nonintervensi, penggunaan kekerasan, dan atribusi dalam operasi siber;</w:t>
            </w:r>
          </w:p>
          <w:p>
            <w:pPr>
              <w:pStyle w:val="ListParagraph"/>
              <w:numPr>
                <w:ilvl w:val="0"/>
                <w:numId w:val="2"/>
              </w:numPr>
              <w:spacing w:after="80" w:line="290"/>
              <w:jc w:val="left"/>
            </w:pPr>
            <w:r>
              <w:rPr>
                <w:sz w:val="21"/>
                <w:szCs w:val="21"/>
              </w:rPr>
              <w:t xml:space="preserve">menjelaskan isu privasi, arus data lintas batas, dan yurisdiksi di dunia digital;</w:t>
            </w:r>
          </w:p>
          <w:p>
            <w:pPr>
              <w:pStyle w:val="ListParagraph"/>
              <w:numPr>
                <w:ilvl w:val="0"/>
                <w:numId w:val="2"/>
              </w:numPr>
              <w:spacing w:after="80" w:line="290"/>
              <w:jc w:val="left"/>
            </w:pPr>
            <w:r>
              <w:rPr>
                <w:sz w:val="21"/>
                <w:szCs w:val="21"/>
              </w:rPr>
              <w:t xml:space="preserve">mengidentifikasi tantangan hukum kecerdasan buatan (AI) dan sistem senjata otonom serta merumuskan sikap kritis.</w:t>
            </w:r>
          </w:p>
        </w:tc>
      </w:tr>
    </w:tbl>
    <w:p>
      <w:pPr>
        <w:spacing w:after="160" w:line="200"/>
      </w:pPr>
    </w:p>
    <w:p>
      <w:pPr>
        <w:pStyle w:val="Heading2"/>
        <w:keepNext/>
        <w:spacing w:after="120" w:before="280"/>
      </w:pPr>
      <w:r>
        <w:t xml:space="preserve">A. Apakah Hukum Internasional Berlaku di Dunia Maya?</w:t>
      </w:r>
    </w:p>
    <w:p>
      <w:pPr>
        <w:spacing w:after="140" w:before="0" w:line="300"/>
        <w:jc w:val="both"/>
      </w:pPr>
      <w:r>
        <w:rPr>
          <w:sz w:val="22"/>
          <w:szCs w:val="22"/>
        </w:rPr>
        <w:t xml:space="preserve">Kelompok Ahli Pemerintah PBB (UN GGE) pada 2013 dan 2015 menegaskan bahwa hukum internasional, terutama Piagam PBB, berlaku di ruang siber. Laporan konsensus ini diteruskan oleh Kelompok Kerja Terbuka (OEWG) PBB. Pertanyaan berikutnya bukan lagi "apakah berlaku", melainkan "bagaimana menerapkannya". Salah satu acuan akademik yang paling banyak dikutip adalah </w:t>
      </w:r>
      <w:r>
        <w:rPr>
          <w:i/>
          <w:iCs/>
          <w:sz w:val="22"/>
          <w:szCs w:val="22"/>
        </w:rPr>
        <w:t xml:space="preserve">Tallinn Manual 2.0</w:t>
      </w:r>
      <w:r>
        <w:rPr>
          <w:sz w:val="22"/>
          <w:szCs w:val="22"/>
        </w:rPr>
        <w:t xml:space="preserve"> (2017), hasil kerja pakar hukum yang diprakarsai pusat keunggulan siber NATO; ia tidak mengikat, tetapi berpengaruh sebagai pedoman penafsiran.</w:t>
      </w:r>
    </w:p>
    <w:p>
      <w:pPr>
        <w:pStyle w:val="Heading2"/>
        <w:keepNext/>
        <w:spacing w:after="120" w:before="280"/>
      </w:pPr>
      <w:r>
        <w:t xml:space="preserve">B. Kedaulatan, Nonintervensi, dan Penggunaan Kekerasan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700"/>
        <w:gridCol w:w="3326"/>
      </w:tblGrid>
      <w:tr>
        <w:trPr>
          <w:cantSplit/>
          <w:tblHeader/>
        </w:trPr>
        <w:tc>
          <w:tcPr>
            <w:tcW w:type="dxa" w:w="20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Kaidah</w:t>
            </w:r>
          </w:p>
        </w:tc>
        <w:tc>
          <w:tcPr>
            <w:tcW w:type="dxa" w:w="37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Penerapan di Ruang Siber</w:t>
            </w:r>
          </w:p>
        </w:tc>
        <w:tc>
          <w:tcPr>
            <w:tcW w:type="dxa" w:w="33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Perdebatan</w:t>
            </w:r>
          </w:p>
        </w:tc>
      </w:tr>
      <w:tr>
        <w:trPr>
          <w:cantSplit/>
        </w:trPr>
        <w:tc>
          <w:tcPr>
            <w:tcW w:type="dxa" w:w="2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Kedaulatan</w:t>
            </w:r>
          </w:p>
        </w:tc>
        <w:tc>
          <w:tcPr>
            <w:tcW w:type="dxa" w:w="3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Infrastruktur siber di wilayah suatu negara berada di bawah yurisdiksinya; operasi siber yang menembus sistem negara lain dapat melanggar kedaulatan</w:t>
            </w:r>
          </w:p>
        </w:tc>
        <w:tc>
          <w:tcPr>
            <w:tcW w:type="dxa" w:w="3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Sebagian negara memandang kedaulatan sebagai aturan yang mengikat, sebagian lain hanya sebagai prinsip umum</w:t>
            </w:r>
          </w:p>
        </w:tc>
      </w:tr>
      <w:tr>
        <w:trPr>
          <w:cantSplit/>
        </w:trPr>
        <w:tc>
          <w:tcPr>
            <w:tcW w:type="dxa" w:w="2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Nonintervensi</w:t>
            </w:r>
          </w:p>
        </w:tc>
        <w:tc>
          <w:tcPr>
            <w:tcW w:type="dxa" w:w="3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Operasi siber yang bersifat koersif terhadap urusan domestik negara lain (misalnya memanipulasi hasil pemilu) dapat terlarang</w:t>
            </w:r>
          </w:p>
        </w:tc>
        <w:tc>
          <w:tcPr>
            <w:tcW w:type="dxa" w:w="3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Batas antara pengaruh dan paksaan tidak selalu jelas</w:t>
            </w:r>
          </w:p>
        </w:tc>
      </w:tr>
      <w:tr>
        <w:trPr>
          <w:cantSplit/>
        </w:trPr>
        <w:tc>
          <w:tcPr>
            <w:tcW w:type="dxa" w:w="2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Larangan penggunaan kekerasan (Pasal 2(4))</w:t>
            </w:r>
          </w:p>
        </w:tc>
        <w:tc>
          <w:tcPr>
            <w:tcW w:type="dxa" w:w="3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Operasi siber yang skala dan akibatnya setara serangan bersenjata (kerusakan fisik, korban jiwa) dapat dinilai sebagai penggunaan kekerasan</w:t>
            </w:r>
          </w:p>
        </w:tc>
        <w:tc>
          <w:tcPr>
            <w:tcW w:type="dxa" w:w="3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Bagaimana dengan serangan yang melumpuhkan layanan tanpa kerusakan fisik?</w:t>
            </w:r>
          </w:p>
        </w:tc>
      </w:tr>
      <w:tr>
        <w:trPr>
          <w:cantSplit/>
        </w:trPr>
        <w:tc>
          <w:tcPr>
            <w:tcW w:type="dxa" w:w="2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Hak membela diri (Pasal 51)</w:t>
            </w:r>
          </w:p>
        </w:tc>
        <w:tc>
          <w:tcPr>
            <w:tcW w:type="dxa" w:w="3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Dapat dipakai bila terjadi serangan bersenjata siber</w:t>
            </w:r>
          </w:p>
        </w:tc>
        <w:tc>
          <w:tcPr>
            <w:tcW w:type="dxa" w:w="3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Apa ambang batas serangan bersenjata dan bagaimana menghitung kesegeraan</w:t>
            </w:r>
          </w:p>
        </w:tc>
      </w:tr>
    </w:tbl>
    <w:p>
      <w:pPr>
        <w:spacing w:after="160" w:line="200"/>
      </w:pPr>
    </w:p>
    <w:p>
      <w:pPr>
        <w:spacing w:after="140" w:before="0" w:line="300"/>
        <w:jc w:val="both"/>
      </w:pPr>
      <w:r>
        <w:rPr>
          <w:sz w:val="22"/>
          <w:szCs w:val="22"/>
        </w:rPr>
        <w:t xml:space="preserve">Selain itu, muncul kewajiban </w:t>
      </w:r>
      <w:r>
        <w:rPr>
          <w:b/>
          <w:bCs/>
          <w:sz w:val="22"/>
          <w:szCs w:val="22"/>
        </w:rPr>
        <w:t xml:space="preserve">uji tuntas</w:t>
      </w:r>
      <w:r>
        <w:rPr>
          <w:sz w:val="22"/>
          <w:szCs w:val="22"/>
        </w:rPr>
        <w:t xml:space="preserve"> (</w:t>
      </w:r>
      <w:r>
        <w:rPr>
          <w:i/>
          <w:iCs/>
          <w:sz w:val="22"/>
          <w:szCs w:val="22"/>
        </w:rPr>
        <w:t xml:space="preserve">due diligence</w:t>
      </w:r>
      <w:r>
        <w:rPr>
          <w:sz w:val="22"/>
          <w:szCs w:val="22"/>
        </w:rPr>
        <w:t xml:space="preserve">): negara tidak boleh dengan sadar membiarkan wilayahnya dipakai untuk operasi siber yang merugikan negara lain. Isu tersulit adalah </w:t>
      </w:r>
      <w:r>
        <w:rPr>
          <w:b/>
          <w:bCs/>
          <w:sz w:val="22"/>
          <w:szCs w:val="22"/>
        </w:rPr>
        <w:t xml:space="preserve">atribusi</w:t>
      </w:r>
      <w:r>
        <w:rPr>
          <w:sz w:val="22"/>
          <w:szCs w:val="22"/>
        </w:rPr>
        <w:t xml:space="preserve">: menentukan siapa pelaku dalam ruang tempat identitas mudah disamarkan. Hukum internasional tidak menetapkan standar bukti tunggal, sehingga negara sering berpegang pada kombinasi bukti teknis dan intelijen. Ketika bukti cukup, aturan ARSIWA di Bab 9 berlaku, termasuk kemungkinan tindakan balasan.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E75B6" w:sz="28"/>
              <w:bottom w:val="none" w:color="FFFFFF" w:sz="0"/>
              <w:right w:val="none" w:color="FFFFFF" w:sz="0"/>
            </w:tcBorders>
            <w:shd w:fill="E8F1FA" w:color="auto" w:val="clear"/>
            <w:tcMar>
              <w:top w:type="dxa" w:w="140"/>
              <w:left w:type="dxa" w:w="240"/>
              <w:bottom w:type="dxa" w:w="100"/>
              <w:right w:type="dxa" w:w="220"/>
            </w:tcMar>
          </w:tcPr>
          <w:p>
            <w:pPr>
              <w:keepNext/>
              <w:spacing w:after="80" w:line="260"/>
            </w:pPr>
            <w:r>
              <w:rPr>
                <w:rFonts w:ascii="Calibri" w:cs="Calibri" w:eastAsia="Calibri" w:hAnsi="Calibri"/>
                <w:b/>
                <w:bCs/>
                <w:color w:val="2E75B6"/>
                <w:sz w:val="22"/>
                <w:szCs w:val="22"/>
              </w:rPr>
              <w:t xml:space="preserve">Tiga Kasus yang Sering Dirujuk</w:t>
            </w:r>
          </w:p>
          <w:p>
            <w:pPr>
              <w:spacing w:after="80" w:before="0" w:line="290"/>
              <w:jc w:val="left"/>
            </w:pPr>
            <w:r>
              <w:rPr>
                <w:sz w:val="21"/>
                <w:szCs w:val="21"/>
              </w:rPr>
              <w:t xml:space="preserve">(1) Serangan penolakan layanan terhadap Estonia (2007). (2) Stuxnet (sekitar 2010), malware yang merusak sentrifugal nuklir dan dibahas apakah termasuk penggunaan kekerasan. (3) NotPetya (2017), malware yang menyebar melampaui sasaran awalnya dan melumpuhkan banyak perusahaan di berbagai negara. Ketiganya menunjukkan bahwa dampak serangan siber bisa meluas melampaui batas negara dan sulit dikendalikan. Cari analisis pakar tentang salah satunya dan nilai kembali klasifikasi hukumnya.</w:t>
            </w:r>
          </w:p>
        </w:tc>
      </w:tr>
    </w:tbl>
    <w:p>
      <w:pPr>
        <w:spacing w:after="160" w:line="200"/>
      </w:pPr>
    </w:p>
    <w:p>
      <w:pPr>
        <w:pStyle w:val="Heading2"/>
        <w:keepNext/>
        <w:spacing w:after="120" w:before="280"/>
      </w:pPr>
      <w:r>
        <w:t xml:space="preserve">C. Privasi, Data, dan Yurisdiksi</w:t>
      </w:r>
    </w:p>
    <w:p>
      <w:pPr>
        <w:spacing w:after="140" w:before="0" w:line="300"/>
        <w:jc w:val="both"/>
      </w:pPr>
      <w:r>
        <w:rPr>
          <w:sz w:val="22"/>
          <w:szCs w:val="22"/>
        </w:rPr>
        <w:t xml:space="preserve">Data mengalir tanpa mengenal batas, tetapi server berada di suatu wilayah. Muncul pertanyaan yurisdiksi lama dengan bentuk baru. Negara dapat memakai asas teritorial (server atau pengguna berada di wilayahnya), asas nasionalitas (pelaku atau korban warga negara), atau doktrin dampak. Contoh terkenal adalah Peraturan Perlindungan Data Umum Uni Eropa (GDPR), yang berlaku ekstrateritorial bagi pihak yang memproses data penduduk Uni Eropa. Sebagian negara juga menerapkan kewajiban lokalisasi data (menyimpan data di dalam negeri) atas alasan kedaulatan dan keamanan, yang berbenturan dengan prinsip kebebasan arus data dan perdagangan digital.</w:t>
      </w:r>
    </w:p>
    <w:p>
      <w:pPr>
        <w:spacing w:after="140" w:before="0" w:line="300"/>
        <w:jc w:val="both"/>
      </w:pPr>
      <w:r>
        <w:rPr>
          <w:sz w:val="22"/>
          <w:szCs w:val="22"/>
        </w:rPr>
        <w:t xml:space="preserve">Dari sisi HAM, hak atas privasi dilindungi Pasal 17 ICCPR, dan Majelis Umum PBB telah beberapa kali menyatakan bahwa hak yang dimiliki secara luring harus dilindungi pula secara daring. Di Indonesia, kerangka hukum meliputi UU ITE (UU No. 11 Tahun 2008 yang telah diubah dengan UU No. 19 Tahun 2016 dan UU No. 1 Tahun 2024) serta UU Pelindungan Data Pribadi (UU No. 27 Tahun 2022).</w:t>
      </w:r>
    </w:p>
    <w:p>
      <w:pPr>
        <w:pStyle w:val="Heading2"/>
        <w:keepNext/>
        <w:spacing w:after="120" w:before="280"/>
      </w:pPr>
      <w:r>
        <w:t xml:space="preserve">D. Kejahatan Siber: Kerja Sama Lintas Negara</w:t>
      </w:r>
    </w:p>
    <w:p>
      <w:pPr>
        <w:spacing w:after="140" w:before="0" w:line="300"/>
        <w:jc w:val="both"/>
      </w:pPr>
      <w:r>
        <w:rPr>
          <w:sz w:val="22"/>
          <w:szCs w:val="22"/>
        </w:rPr>
        <w:t xml:space="preserve">Kejahatan siber hampir selalu lintas negara sehingga memerlukan kerja sama peradilan pidana. Instrumen utama pertama adalah Konvensi Budapest tentang Kejahatan Siber (Dewan Eropa, 2001), yang terbuka bagi negara non-Eropa. Pada akhir 2024, Majelis Umum PBB mengadopsi konvensi PBB melawan kejahatan siber, yang kemudian dibuka untuk penandatanganan pada 2025. Konvensi tersebut menuai pujian sekaligus kritik dari kelompok HAM terkait cakupan dan perlindungan hak. Periksa status tanda tangan dan ratifikasi terbaru sebelum mengutipnya.</w:t>
      </w:r>
    </w:p>
    <w:p>
      <w:pPr>
        <w:pStyle w:val="Heading2"/>
        <w:keepNext/>
        <w:spacing w:after="120" w:before="280"/>
      </w:pPr>
      <w:r>
        <w:t xml:space="preserve">E. Kecerdasan Buatan dan Senjata Otonom</w:t>
      </w:r>
    </w:p>
    <w:p>
      <w:pPr>
        <w:spacing w:after="140" w:before="0" w:line="300"/>
        <w:jc w:val="both"/>
      </w:pPr>
      <w:r>
        <w:rPr>
          <w:sz w:val="22"/>
          <w:szCs w:val="22"/>
        </w:rPr>
        <w:t xml:space="preserve">Perkembangan AI memunculkan pertanyaan yang belum sepenuhnya terjawab. Pada 2024, Majelis Umum PBB mengadopsi resolusi tentang AI yang aman, terjamin, dan tepercaya; Dewan Eropa membuka penandatanganan konvensi kerangka tentang AI dan HAM, demokrasi, serta supremasi hukum; dan Uni Eropa mengesahkan regulasi AI. Semuanya menunjukkan bahwa tata kelola AI masih berupa jalinan instrumen mengikat dan tidak mengikat.</w:t>
      </w:r>
    </w:p>
    <w:p>
      <w:pPr>
        <w:spacing w:after="140" w:before="0" w:line="300"/>
        <w:jc w:val="both"/>
      </w:pPr>
      <w:r>
        <w:rPr>
          <w:sz w:val="22"/>
          <w:szCs w:val="22"/>
        </w:rPr>
        <w:t xml:space="preserve">Isu paling tajam adalah </w:t>
      </w:r>
      <w:r>
        <w:rPr>
          <w:b/>
          <w:bCs/>
          <w:sz w:val="22"/>
          <w:szCs w:val="22"/>
        </w:rPr>
        <w:t xml:space="preserve">sistem senjata otonom mematikan</w:t>
      </w:r>
      <w:r>
        <w:rPr>
          <w:sz w:val="22"/>
          <w:szCs w:val="22"/>
        </w:rPr>
        <w:t xml:space="preserve"> (</w:t>
      </w:r>
      <w:r>
        <w:rPr>
          <w:i/>
          <w:iCs/>
          <w:sz w:val="22"/>
          <w:szCs w:val="22"/>
        </w:rPr>
        <w:t xml:space="preserve">lethal autonomous weapon systems</w:t>
      </w:r>
      <w:r>
        <w:rPr>
          <w:sz w:val="22"/>
          <w:szCs w:val="22"/>
        </w:rPr>
        <w:t xml:space="preserve">, LAWS). Pertanyaan pokoknya: dapatkah mesin memenuhi prinsip pembedaan, proporsionalitas, dan pencegahan? Siapa yang bertanggung jawab bila mesin melakukan kesalahan: pemrogram, komandan, atau negara? Diskusi berlangsung di forum Konvensi Senjata Konvensional Tertentu (CCW) di Jenewa. Banyak pihak menekankan perlunya "kendali manusia yang bermakna" (</w:t>
      </w:r>
      <w:r>
        <w:rPr>
          <w:i/>
          <w:iCs/>
          <w:sz w:val="22"/>
          <w:szCs w:val="22"/>
        </w:rPr>
        <w:t xml:space="preserve">meaningful human control</w:t>
      </w:r>
      <w:r>
        <w:rPr>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D4A017" w:sz="28"/>
              <w:bottom w:val="none" w:color="FFFFFF" w:sz="0"/>
              <w:right w:val="none" w:color="FFFFFF" w:sz="0"/>
            </w:tcBorders>
            <w:shd w:fill="FFF8DC" w:color="auto" w:val="clear"/>
            <w:tcMar>
              <w:top w:type="dxa" w:w="140"/>
              <w:left w:type="dxa" w:w="240"/>
              <w:bottom w:type="dxa" w:w="100"/>
              <w:right w:type="dxa" w:w="220"/>
            </w:tcMar>
          </w:tcPr>
          <w:p>
            <w:pPr>
              <w:keepNext/>
              <w:spacing w:after="80" w:line="260"/>
            </w:pPr>
            <w:r>
              <w:rPr>
                <w:rFonts w:ascii="Calibri" w:cs="Calibri" w:eastAsia="Calibri" w:hAnsi="Calibri"/>
                <w:b/>
                <w:bCs/>
                <w:color w:val="D4A017"/>
                <w:sz w:val="22"/>
                <w:szCs w:val="22"/>
              </w:rPr>
              <w:t xml:space="preserve">Tahukah Kamu? Modul Ini dan AI</w:t>
            </w:r>
          </w:p>
          <w:p>
            <w:pPr>
              <w:spacing w:after="80" w:before="0" w:line="290"/>
              <w:jc w:val="left"/>
            </w:pPr>
            <w:r>
              <w:rPr>
                <w:sz w:val="21"/>
                <w:szCs w:val="21"/>
              </w:rPr>
              <w:t xml:space="preserve">Kamu sedang menggunakan AI untuk belajar. Karena itu, kita perlu bertanya secara hukum dan etis: apakah AI boleh dipakai untuk menulis tugas? Siapa yang bertanggung jawab jika AI menyajikan kutipan putusan yang keliru? Kebiasaan yang aman: gunakan AI sebagai mitra berpikir, selalu periksa ke sumber primer (teks perjanjian, putusan pengadilan, undang-undang), dan cantumkan bila kamu memakai AI sebagai bantuan.</w:t>
            </w:r>
          </w:p>
        </w:tc>
      </w:tr>
    </w:tbl>
    <w:p>
      <w:pPr>
        <w:spacing w:after="160" w:line="200"/>
      </w:pPr>
    </w:p>
    <w:p>
      <w:pPr>
        <w:pStyle w:val="Heading2"/>
        <w:keepNext/>
        <w:spacing w:after="120" w:before="280"/>
      </w:pPr>
      <w:r>
        <w:t xml:space="preserve">Rangkuman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F7F7F" w:sz="28"/>
              <w:bottom w:val="none" w:color="FFFFFF" w:sz="0"/>
              <w:right w:val="none" w:color="FFFFFF" w:sz="0"/>
            </w:tcBorders>
            <w:shd w:fill="F2F2F2" w:color="auto" w:val="clear"/>
            <w:tcMar>
              <w:top w:type="dxa" w:w="140"/>
              <w:left w:type="dxa" w:w="240"/>
              <w:bottom w:type="dxa" w:w="100"/>
              <w:right w:type="dxa" w:w="220"/>
            </w:tcMar>
          </w:tcPr>
          <w:p>
            <w:pPr>
              <w:pStyle w:val="ListParagraph"/>
              <w:numPr>
                <w:ilvl w:val="0"/>
                <w:numId w:val="2"/>
              </w:numPr>
              <w:spacing w:after="80" w:line="290"/>
              <w:jc w:val="left"/>
            </w:pPr>
            <w:r>
              <w:rPr>
                <w:sz w:val="21"/>
                <w:szCs w:val="21"/>
              </w:rPr>
              <w:t xml:space="preserve">Hukum internasional berlaku di ruang siber; tantangannya terletak pada penerapan, terutama menentukan pelanggaran kedaulatan, nonintervensi, dan ambang serangan bersenjata.</w:t>
            </w:r>
          </w:p>
          <w:p>
            <w:pPr>
              <w:pStyle w:val="ListParagraph"/>
              <w:numPr>
                <w:ilvl w:val="0"/>
                <w:numId w:val="2"/>
              </w:numPr>
              <w:spacing w:after="80" w:line="290"/>
              <w:jc w:val="left"/>
            </w:pPr>
            <w:r>
              <w:rPr>
                <w:sz w:val="21"/>
                <w:szCs w:val="21"/>
              </w:rPr>
              <w:t xml:space="preserve">Atribusi dan uji tuntas adalah isu kunci tanggung jawab negara dalam operasi siber.</w:t>
            </w:r>
          </w:p>
          <w:p>
            <w:pPr>
              <w:pStyle w:val="ListParagraph"/>
              <w:numPr>
                <w:ilvl w:val="0"/>
                <w:numId w:val="2"/>
              </w:numPr>
              <w:spacing w:after="80" w:line="290"/>
              <w:jc w:val="left"/>
            </w:pPr>
            <w:r>
              <w:rPr>
                <w:sz w:val="21"/>
                <w:szCs w:val="21"/>
              </w:rPr>
              <w:t xml:space="preserve">Data lintas batas memunculkan persoalan yurisdiksi, privasi, dan lokalisasi data.</w:t>
            </w:r>
          </w:p>
          <w:p>
            <w:pPr>
              <w:pStyle w:val="ListParagraph"/>
              <w:numPr>
                <w:ilvl w:val="0"/>
                <w:numId w:val="2"/>
              </w:numPr>
              <w:spacing w:after="80" w:line="290"/>
              <w:jc w:val="left"/>
            </w:pPr>
            <w:r>
              <w:rPr>
                <w:sz w:val="21"/>
                <w:szCs w:val="21"/>
              </w:rPr>
              <w:t xml:space="preserve">Tata kelola AI dan senjata otonom masih berkembang dan menuntut pengawasan manusia yang bermakna.</w:t>
            </w:r>
          </w:p>
        </w:tc>
      </w:tr>
    </w:tbl>
    <w:p>
      <w:pPr>
        <w:spacing w:after="160" w:line="200"/>
      </w:pPr>
    </w:p>
    <w:p>
      <w:pPr>
        <w:spacing w:after="200" w:line="290"/>
        <w:jc w:val="left"/>
      </w:pPr>
      <w:r>
        <w:rPr>
          <w:b/>
          <w:bCs/>
          <w:color w:val="1F3A5F"/>
          <w:sz w:val="21"/>
          <w:szCs w:val="21"/>
        </w:rPr>
        <w:t xml:space="preserve">Kata kunci: </w:t>
      </w:r>
      <w:r>
        <w:rPr>
          <w:i/>
          <w:iCs/>
          <w:sz w:val="21"/>
          <w:szCs w:val="21"/>
        </w:rPr>
        <w:t xml:space="preserve">ruang siber  •  Tallinn Manual  •  kedaulatan siber  •  due diligence  •  atribusi  •  GDPR  •  UU PDP  •  LAWS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B04A4A" w:sz="28"/>
              <w:bottom w:val="none" w:color="FFFFFF" w:sz="0"/>
              <w:right w:val="none" w:color="FFFFFF" w:sz="0"/>
            </w:tcBorders>
            <w:shd w:fill="FBEFEF" w:color="auto" w:val="clear"/>
            <w:tcMar>
              <w:top w:type="dxa" w:w="140"/>
              <w:left w:type="dxa" w:w="240"/>
              <w:bottom w:type="dxa" w:w="100"/>
              <w:right w:type="dxa" w:w="220"/>
            </w:tcMar>
          </w:tcPr>
          <w:p>
            <w:pPr>
              <w:keepNext/>
              <w:spacing w:after="80" w:line="260"/>
            </w:pPr>
            <w:r>
              <w:rPr>
                <w:rFonts w:ascii="Calibri" w:cs="Calibri" w:eastAsia="Calibri" w:hAnsi="Calibri"/>
                <w:b/>
                <w:bCs/>
                <w:color w:val="B04A4A"/>
                <w:sz w:val="22"/>
                <w:szCs w:val="22"/>
              </w:rPr>
              <w:t xml:space="preserve">LATIHAN DISKUSI</w:t>
            </w:r>
          </w:p>
          <w:p>
            <w:pPr>
              <w:pStyle w:val="ListParagraph"/>
              <w:numPr>
                <w:ilvl w:val="0"/>
                <w:numId w:val="20"/>
              </w:numPr>
              <w:spacing w:after="80" w:line="290"/>
              <w:jc w:val="left"/>
            </w:pPr>
            <w:r>
              <w:rPr>
                <w:sz w:val="21"/>
                <w:szCs w:val="21"/>
              </w:rPr>
              <w:t xml:space="preserve">Apakah serangan penolakan layanan yang melumpuhkan sistem perbankan sebuah negara termasuk penggunaan kekerasan? Pertimbangkan pandangan yang berbeda.</w:t>
            </w:r>
          </w:p>
          <w:p>
            <w:pPr>
              <w:pStyle w:val="ListParagraph"/>
              <w:numPr>
                <w:ilvl w:val="0"/>
                <w:numId w:val="20"/>
              </w:numPr>
              <w:spacing w:after="80" w:line="290"/>
              <w:jc w:val="left"/>
            </w:pPr>
            <w:r>
              <w:rPr>
                <w:sz w:val="21"/>
                <w:szCs w:val="21"/>
              </w:rPr>
              <w:t xml:space="preserve">Bagaimana yurisdiksi diterapkan pada platform digital global yang melayani pengguna Indonesia dari server di luar negeri?</w:t>
            </w:r>
          </w:p>
          <w:p>
            <w:pPr>
              <w:pStyle w:val="ListParagraph"/>
              <w:numPr>
                <w:ilvl w:val="0"/>
                <w:numId w:val="20"/>
              </w:numPr>
              <w:spacing w:after="80" w:line="290"/>
              <w:jc w:val="left"/>
            </w:pPr>
            <w:r>
              <w:rPr>
                <w:sz w:val="21"/>
                <w:szCs w:val="21"/>
              </w:rPr>
              <w:t xml:space="preserve">Siapa yang bertanggung jawab jika senjata otonom menyerang sasaran sipil secara keliru?</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2A8C8C" w:sz="28"/>
              <w:bottom w:val="none" w:color="FFFFFF" w:sz="0"/>
              <w:right w:val="none" w:color="FFFFFF" w:sz="0"/>
            </w:tcBorders>
            <w:shd w:fill="EAF6F6" w:color="auto" w:val="clear"/>
            <w:tcMar>
              <w:top w:type="dxa" w:w="140"/>
              <w:left w:type="dxa" w:w="240"/>
              <w:bottom w:type="dxa" w:w="100"/>
              <w:right w:type="dxa" w:w="220"/>
            </w:tcMar>
          </w:tcPr>
          <w:p>
            <w:pPr>
              <w:keepNext/>
              <w:spacing w:after="80" w:line="260"/>
            </w:pPr>
            <w:r>
              <w:rPr>
                <w:rFonts w:ascii="Calibri" w:cs="Calibri" w:eastAsia="Calibri" w:hAnsi="Calibri"/>
                <w:b/>
                <w:bCs/>
                <w:color w:val="2A8C8C"/>
                <w:sz w:val="22"/>
                <w:szCs w:val="22"/>
              </w:rPr>
              <w:t xml:space="preserve">AKTIVITAS KELAS</w:t>
            </w:r>
          </w:p>
          <w:p>
            <w:pPr>
              <w:spacing w:after="80" w:before="0" w:line="290"/>
              <w:jc w:val="left"/>
            </w:pPr>
            <w:r>
              <w:rPr>
                <w:b/>
                <w:bCs/>
                <w:sz w:val="21"/>
                <w:szCs w:val="21"/>
              </w:rPr>
              <w:t xml:space="preserve">Debat Kebijakan Siber (35 menit).</w:t>
            </w:r>
            <w:r>
              <w:rPr>
                <w:sz w:val="21"/>
                <w:szCs w:val="21"/>
              </w:rPr>
              <w:t xml:space="preserve"> Mosi: "Indonesia sebaiknya mewajibkan lokalisasi data untuk seluruh data pribadi warganya." Kelompok pro dan kontra menyusun argumen dari sudut kedaulatan, hak privasi, perdagangan, dan keamanan. Kelompok ketiga bertindak sebagai panel ahli yang memberikan rekomendasi kompromi.</w:t>
            </w:r>
          </w:p>
        </w:tc>
      </w:tr>
    </w:tbl>
    <w:p>
      <w:pPr>
        <w:spacing w:after="160" w:lin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7A5CB8" w:sz="28"/>
              <w:bottom w:val="none" w:color="FFFFFF" w:sz="0"/>
              <w:right w:val="none" w:color="FFFFFF" w:sz="0"/>
            </w:tcBorders>
            <w:shd w:fill="F1ECFA" w:color="auto" w:val="clear"/>
            <w:tcMar>
              <w:top w:type="dxa" w:w="140"/>
              <w:left w:type="dxa" w:w="240"/>
              <w:bottom w:type="dxa" w:w="100"/>
              <w:right w:type="dxa" w:w="220"/>
            </w:tcMar>
          </w:tcPr>
          <w:p>
            <w:pPr>
              <w:keepNext/>
              <w:spacing w:after="80" w:line="260"/>
            </w:pPr>
            <w:r>
              <w:rPr>
                <w:rFonts w:ascii="Calibri" w:cs="Calibri" w:eastAsia="Calibri" w:hAnsi="Calibri"/>
                <w:b/>
                <w:bCs/>
                <w:color w:val="7A5CB8"/>
                <w:sz w:val="22"/>
                <w:szCs w:val="22"/>
              </w:rPr>
              <w:t xml:space="preserve">BELAJAR BERSAMA AI</w:t>
            </w:r>
          </w:p>
          <w:p>
            <w:pPr>
              <w:spacing w:after="80" w:before="0" w:line="290"/>
              <w:jc w:val="left"/>
            </w:pPr>
            <w:r>
              <w:rPr>
                <w:sz w:val="21"/>
                <w:szCs w:val="21"/>
              </w:rPr>
              <w:t xml:space="preserve">Salin perintah (prompt) berikut ke asisten AI pilihanmu, lalu sesuaikan dengan kebutuhanmu:</w:t>
            </w:r>
          </w:p>
          <w:p>
            <w:pPr>
              <w:spacing w:after="100" w:line="280"/>
              <w:ind w:left="200"/>
              <w:jc w:val="left"/>
            </w:pPr>
            <w:r>
              <w:rPr>
                <w:i/>
                <w:iCs/>
                <w:color w:val="4A3A80"/>
                <w:sz w:val="21"/>
                <w:szCs w:val="21"/>
              </w:rPr>
              <w:t xml:space="preserve">"Buat perbandingan singkat tiga sikap negara tentang apakah kedaulatan merupakan aturan mengikat atau prinsip umum di ruang siber. Beri tahu jika informasinya tidak pasti dan saran sumber primer yang harus kuperiksa. Kemudian minta aku merumuskan sikap Indonesia beserta alasan hukumnya."</w:t>
            </w:r>
          </w:p>
          <w:p>
            <w:pPr>
              <w:spacing w:after="80" w:before="0" w:line="290"/>
              <w:jc w:val="left"/>
            </w:pPr>
            <w:r>
              <w:rPr>
                <w:sz w:val="21"/>
                <w:szCs w:val="21"/>
              </w:rPr>
              <w:t xml:space="preserve">Ingat: AI dapat keliru. Periksa setiap pasal, nama putusan, dan kutipan pada sumber primer sebelum kamu gunakan.</w:t>
            </w:r>
          </w:p>
        </w:tc>
      </w:tr>
    </w:tbl>
    <w:p>
      <w:pPr>
        <w:spacing w:after="160" w:line="200"/>
      </w:pPr>
    </w:p>
    <w:p>
      <w:pPr>
        <w:spacing w:after="140" w:before="0" w:line="300"/>
        <w:jc w:val="left"/>
      </w:pPr>
      <w:r>
        <w:rPr>
          <w:b/>
          <w:bCs/>
          <w:color w:val="595959"/>
          <w:sz w:val="20"/>
          <w:szCs w:val="20"/>
        </w:rPr>
        <w:t xml:space="preserve">Bacaan lanjutan:</w:t>
      </w:r>
      <w:r>
        <w:rPr>
          <w:color w:val="595959"/>
          <w:sz w:val="20"/>
          <w:szCs w:val="20"/>
        </w:rPr>
        <w:t xml:space="preserve"> Malcolm N. Shaw, </w:t>
      </w:r>
      <w:r>
        <w:rPr>
          <w:i/>
          <w:iCs/>
          <w:color w:val="595959"/>
          <w:sz w:val="20"/>
          <w:szCs w:val="20"/>
        </w:rPr>
        <w:t xml:space="preserve">International Law</w:t>
      </w:r>
      <w:r>
        <w:rPr>
          <w:color w:val="595959"/>
          <w:sz w:val="20"/>
          <w:szCs w:val="20"/>
        </w:rPr>
        <w:t xml:space="preserve">; Antonio Cassese, </w:t>
      </w:r>
      <w:r>
        <w:rPr>
          <w:i/>
          <w:iCs/>
          <w:color w:val="595959"/>
          <w:sz w:val="20"/>
          <w:szCs w:val="20"/>
        </w:rPr>
        <w:t xml:space="preserve">International Law</w:t>
      </w:r>
      <w:r>
        <w:rPr>
          <w:color w:val="595959"/>
          <w:sz w:val="20"/>
          <w:szCs w:val="20"/>
        </w:rPr>
        <w:t xml:space="preserve">; Ahmad Syofyan (2022); </w:t>
      </w:r>
      <w:r>
        <w:rPr>
          <w:i/>
          <w:iCs/>
          <w:color w:val="595959"/>
          <w:sz w:val="20"/>
          <w:szCs w:val="20"/>
        </w:rPr>
        <w:t xml:space="preserve">Tallinn Manual 2.0</w:t>
      </w:r>
      <w:r>
        <w:rPr>
          <w:color w:val="595959"/>
          <w:sz w:val="20"/>
          <w:szCs w:val="20"/>
        </w:rPr>
        <w:t xml:space="preserve">; laporan UN GGE 2013 dan 2015; UU ITE dan UU PDP.</w:t>
      </w:r>
    </w:p>
    <w:p>
      <w:pPr>
        <w:keepNext/>
        <w:pageBreakBefore/>
        <w:spacing w:after="60"/>
      </w:pPr>
      <w:r>
        <w:rPr>
          <w:rFonts w:ascii="Calibri" w:cs="Calibri" w:eastAsia="Calibri" w:hAnsi="Calibri"/>
          <w:b/>
          <w:bCs/>
          <w:color w:val="B8892B"/>
          <w:spacing w:val="60"/>
          <w:sz w:val="22"/>
          <w:szCs w:val="22"/>
        </w:rPr>
        <w:t xml:space="preserve">PERTEMUAN 16</w:t>
      </w:r>
    </w:p>
    <w:p>
      <w:pPr>
        <w:pStyle w:val="Heading1"/>
        <w:keepNext/>
        <w:pBdr>
          <w:bottom w:val="single" w:color="B8892B" w:sz="12" w:space="6"/>
        </w:pBdr>
        <w:spacing w:after="100"/>
      </w:pPr>
      <w:r>
        <w:t xml:space="preserve">Persiapan Ujian Akhir Semester</w:t>
      </w:r>
    </w:p>
    <w:p>
      <w:pPr>
        <w:spacing w:after="200"/>
      </w:pPr>
      <w:r>
        <w:rPr>
          <w:rFonts w:ascii="Cambria" w:cs="Cambria" w:eastAsia="Cambria" w:hAnsi="Cambria"/>
          <w:i/>
          <w:iCs/>
          <w:color w:val="595959"/>
          <w:sz w:val="26"/>
          <w:szCs w:val="26"/>
        </w:rPr>
        <w:t xml:space="preserve">Bab 8 sampai Bab 14, ditambah soal integratif</w:t>
      </w:r>
    </w:p>
    <w:p>
      <w:pPr>
        <w:spacing w:after="140" w:before="0" w:line="300"/>
        <w:jc w:val="both"/>
      </w:pPr>
      <w:r>
        <w:rPr>
          <w:sz w:val="22"/>
          <w:szCs w:val="22"/>
        </w:rPr>
        <w:t xml:space="preserve">UAS menguji kemampuan menerapkan hukum internasional pada isu yang lebih kompleks dan lintas bidang. Sebagian soal berbentuk studi kasus yang mensyaratkan kamu memilih aturan yang tepat dari berbagai bab. Bobot UAS adalah 25 persen dari nilai akhir.</w:t>
      </w:r>
    </w:p>
    <w:p>
      <w:pPr>
        <w:pStyle w:val="Heading2"/>
        <w:keepNext/>
        <w:spacing w:after="120" w:before="280"/>
      </w:pPr>
      <w:r>
        <w:t xml:space="preserve">Kisi-Kisi Kompetensi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4000"/>
        <w:gridCol w:w="4126"/>
      </w:tblGrid>
      <w:tr>
        <w:trPr>
          <w:cantSplit/>
          <w:tblHeader/>
        </w:trPr>
        <w:tc>
          <w:tcPr>
            <w:tcW w:type="dxa" w:w="9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Bab</w:t>
            </w:r>
          </w:p>
        </w:tc>
        <w:tc>
          <w:tcPr>
            <w:tcW w:type="dxa" w:w="40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Kompetensi yang Diuji</w:t>
            </w:r>
          </w:p>
        </w:tc>
        <w:tc>
          <w:tcPr>
            <w:tcW w:type="dxa" w:w="41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Contoh Bentuk Soal</w:t>
            </w:r>
          </w:p>
        </w:tc>
      </w:tr>
      <w:tr>
        <w:trPr>
          <w:cantSplit/>
        </w:trPr>
        <w:tc>
          <w:tcPr>
            <w:tcW w:type="dxa" w:w="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8</w:t>
            </w:r>
          </w:p>
        </w:tc>
        <w:tc>
          <w:tcPr>
            <w:tcW w:type="dxa" w:w="4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Menentukan dasar yurisdiksi dan kekebalan</w:t>
            </w:r>
          </w:p>
        </w:tc>
        <w:tc>
          <w:tcPr>
            <w:tcW w:type="dxa" w:w="41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Tentukan negara-negara yang berwenang mengadili sebuah kejahatan siber lintas negara, beserta dasarnya.</w:t>
            </w:r>
          </w:p>
        </w:tc>
      </w:tr>
      <w:tr>
        <w:trPr>
          <w:cantSplit/>
        </w:trPr>
        <w:tc>
          <w:tcPr>
            <w:tcW w:type="dxa" w:w="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9</w:t>
            </w:r>
          </w:p>
        </w:tc>
        <w:tc>
          <w:tcPr>
            <w:tcW w:type="dxa" w:w="4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Menganalisis atribusi dan reparasi</w:t>
            </w:r>
          </w:p>
        </w:tc>
        <w:tc>
          <w:tcPr>
            <w:tcW w:type="dxa" w:w="41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Apakah negara bertanggung jawab atas tindakan perusahaan swasta yang merusak lingkungan negara lain?</w:t>
            </w:r>
          </w:p>
        </w:tc>
      </w:tr>
      <w:tr>
        <w:trPr>
          <w:cantSplit/>
        </w:trPr>
        <w:tc>
          <w:tcPr>
            <w:tcW w:type="dxa" w:w="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10</w:t>
            </w:r>
          </w:p>
        </w:tc>
        <w:tc>
          <w:tcPr>
            <w:tcW w:type="dxa" w:w="4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Memilih mekanisme penyelesaian sengketa</w:t>
            </w:r>
          </w:p>
        </w:tc>
        <w:tc>
          <w:tcPr>
            <w:tcW w:type="dxa" w:w="41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Rekomendasikan cara penyelesaian sengketa batas laut dan berikan alasan yuridisnya.</w:t>
            </w:r>
          </w:p>
        </w:tc>
      </w:tr>
      <w:tr>
        <w:trPr>
          <w:cantSplit/>
        </w:trPr>
        <w:tc>
          <w:tcPr>
            <w:tcW w:type="dxa" w:w="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11</w:t>
            </w:r>
          </w:p>
        </w:tc>
        <w:tc>
          <w:tcPr>
            <w:tcW w:type="dxa" w:w="4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Menerapkan UNCLOS</w:t>
            </w:r>
          </w:p>
        </w:tc>
        <w:tc>
          <w:tcPr>
            <w:tcW w:type="dxa" w:w="41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Analisis hak kapal asing yang melintas di ZEE dan di selat internasional.</w:t>
            </w:r>
          </w:p>
        </w:tc>
      </w:tr>
      <w:tr>
        <w:trPr>
          <w:cantSplit/>
        </w:trPr>
        <w:tc>
          <w:tcPr>
            <w:tcW w:type="dxa" w:w="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12</w:t>
            </w:r>
          </w:p>
        </w:tc>
        <w:tc>
          <w:tcPr>
            <w:tcW w:type="dxa" w:w="4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Menganalisis kewajiban iklim</w:t>
            </w:r>
          </w:p>
        </w:tc>
        <w:tc>
          <w:tcPr>
            <w:tcW w:type="dxa" w:w="41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Jelaskan sifat kewajiban dalam Persetujuan Paris dan implikasinya bagi Indonesia.</w:t>
            </w:r>
          </w:p>
        </w:tc>
      </w:tr>
      <w:tr>
        <w:trPr>
          <w:cantSplit/>
        </w:trPr>
        <w:tc>
          <w:tcPr>
            <w:tcW w:type="dxa" w:w="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13</w:t>
            </w:r>
          </w:p>
        </w:tc>
        <w:tc>
          <w:tcPr>
            <w:tcW w:type="dxa" w:w="4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Menerapkan prinsip IHL dan ICC</w:t>
            </w:r>
          </w:p>
        </w:tc>
        <w:tc>
          <w:tcPr>
            <w:tcW w:type="dxa" w:w="41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Nilai sebuah serangan menurut prinsip pembedaan dan proporsionalitas.</w:t>
            </w:r>
          </w:p>
        </w:tc>
      </w:tr>
      <w:tr>
        <w:trPr>
          <w:cantSplit/>
        </w:trPr>
        <w:tc>
          <w:tcPr>
            <w:tcW w:type="dxa" w:w="9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14</w:t>
            </w:r>
          </w:p>
        </w:tc>
        <w:tc>
          <w:tcPr>
            <w:tcW w:type="dxa" w:w="40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Menganalisis operasi siber</w:t>
            </w:r>
          </w:p>
        </w:tc>
        <w:tc>
          <w:tcPr>
            <w:tcW w:type="dxa" w:w="41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Apakah operasi siber tertentu melanggar kedaulatan atau larangan penggunaan kekerasan?</w:t>
            </w:r>
          </w:p>
        </w:tc>
      </w:tr>
      <w:tr>
        <w:trPr>
          <w:cantSplit/>
        </w:trPr>
        <w:tc>
          <w:tcPr>
            <w:tcW w:type="dxa" w:w="9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Integratif</w:t>
            </w:r>
          </w:p>
        </w:tc>
        <w:tc>
          <w:tcPr>
            <w:tcW w:type="dxa" w:w="40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Menghubungkan lintas bab</w:t>
            </w:r>
          </w:p>
        </w:tc>
        <w:tc>
          <w:tcPr>
            <w:tcW w:type="dxa" w:w="41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Kapal negara A menabrak kapal negara B di ZEE negara C dan mencemari laut. Analisis yurisdiksi, tanggung jawab, dan forum penyelesaian sengketa.</w:t>
            </w:r>
          </w:p>
        </w:tc>
      </w:tr>
    </w:tbl>
    <w:p>
      <w:pPr>
        <w:spacing w:after="160" w:line="200"/>
      </w:pPr>
    </w:p>
    <w:p>
      <w:pPr>
        <w:pStyle w:val="Heading2"/>
        <w:keepNext/>
        <w:spacing w:after="120" w:before="280"/>
      </w:pPr>
      <w:r>
        <w:t xml:space="preserve">Strategi Persiapan</w:t>
      </w:r>
    </w:p>
    <w:p>
      <w:pPr>
        <w:pStyle w:val="ListParagraph"/>
        <w:numPr>
          <w:ilvl w:val="0"/>
          <w:numId w:val="2"/>
        </w:numPr>
        <w:spacing w:after="80" w:line="290"/>
        <w:jc w:val="left"/>
      </w:pPr>
      <w:r>
        <w:rPr>
          <w:sz w:val="22"/>
          <w:szCs w:val="22"/>
        </w:rPr>
        <w:t xml:space="preserve">Susun tabel ringkas: isu, aturan, sumber, contoh putusan.</w:t>
      </w:r>
    </w:p>
    <w:p>
      <w:pPr>
        <w:pStyle w:val="ListParagraph"/>
        <w:numPr>
          <w:ilvl w:val="0"/>
          <w:numId w:val="2"/>
        </w:numPr>
        <w:spacing w:after="80" w:line="290"/>
        <w:jc w:val="left"/>
      </w:pPr>
      <w:r>
        <w:rPr>
          <w:sz w:val="22"/>
          <w:szCs w:val="22"/>
        </w:rPr>
        <w:t xml:space="preserve">Latih menghubungkan bab: yurisdiksi dengan hukum laut, tanggung jawab negara dengan lingkungan dan siber.</w:t>
      </w:r>
    </w:p>
    <w:p>
      <w:pPr>
        <w:pStyle w:val="ListParagraph"/>
        <w:numPr>
          <w:ilvl w:val="0"/>
          <w:numId w:val="2"/>
        </w:numPr>
        <w:spacing w:after="80" w:line="290"/>
        <w:jc w:val="left"/>
      </w:pPr>
      <w:r>
        <w:rPr>
          <w:sz w:val="22"/>
          <w:szCs w:val="22"/>
        </w:rPr>
        <w:t xml:space="preserve">Bila membahas kasus terkini, bedakan fakta, aturan hukum, dan opini politik.</w:t>
      </w:r>
    </w:p>
    <w:p>
      <w:pPr>
        <w:pStyle w:val="ListParagraph"/>
        <w:numPr>
          <w:ilvl w:val="0"/>
          <w:numId w:val="2"/>
        </w:numPr>
        <w:spacing w:after="80" w:line="290"/>
        <w:jc w:val="left"/>
      </w:pPr>
      <w:r>
        <w:rPr>
          <w:sz w:val="22"/>
          <w:szCs w:val="22"/>
        </w:rPr>
        <w:t xml:space="preserve">Sebutkan dasar hukum secara tepat; jangan mengarang nomor pasal atau nama putusan.</w:t>
      </w:r>
    </w:p>
    <w:p>
      <w:pPr>
        <w:pStyle w:val="ListParagraph"/>
        <w:numPr>
          <w:ilvl w:val="0"/>
          <w:numId w:val="2"/>
        </w:numPr>
        <w:spacing w:after="80" w:line="290"/>
        <w:jc w:val="left"/>
      </w:pPr>
      <w:r>
        <w:rPr>
          <w:sz w:val="22"/>
          <w:szCs w:val="22"/>
        </w:rPr>
        <w:t xml:space="preserve">Tulis kesimpulan yang tegas dan bertanggung jawab pada akhir jawaban.</w:t>
      </w:r>
    </w:p>
    <w:p>
      <w:pPr>
        <w:spacing w:after="120" w:line="200"/>
      </w:pPr>
    </w:p>
    <w:p>
      <w:pPr>
        <w:pStyle w:val="Heading1"/>
        <w:keepNext/>
        <w:pageBreakBefore/>
        <w:pBdr>
          <w:bottom w:val="single" w:color="B8892B" w:sz="12" w:space="6"/>
        </w:pBdr>
        <w:spacing w:after="100"/>
      </w:pPr>
      <w:r>
        <w:t xml:space="preserve">Glosarium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0"/>
        <w:gridCol w:w="6326"/>
      </w:tblGrid>
      <w:tr>
        <w:trPr>
          <w:cantSplit/>
          <w:tblHeader/>
        </w:trPr>
        <w:tc>
          <w:tcPr>
            <w:tcW w:type="dxa" w:w="2700"/>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Istilah</w:t>
            </w:r>
          </w:p>
        </w:tc>
        <w:tc>
          <w:tcPr>
            <w:tcW w:type="dxa" w:w="6326"/>
            <w:tcBorders>
              <w:top w:val="single" w:color="BFC7D1" w:sz="4"/>
              <w:left w:val="single" w:color="BFC7D1" w:sz="4"/>
              <w:bottom w:val="single" w:color="BFC7D1" w:sz="4"/>
              <w:right w:val="single" w:color="BFC7D1" w:sz="4"/>
            </w:tcBorders>
            <w:shd w:fill="1F3A5F" w:color="auto" w:val="clear"/>
            <w:tcMar>
              <w:top w:type="dxa" w:w="70"/>
              <w:left w:type="dxa" w:w="110"/>
              <w:bottom w:type="dxa" w:w="70"/>
              <w:right w:type="dxa" w:w="110"/>
            </w:tcMar>
            <w:vAlign w:val="center"/>
          </w:tcPr>
          <w:p>
            <w:pPr>
              <w:spacing w:after="0" w:line="260"/>
              <w:jc w:val="left"/>
            </w:pPr>
            <w:r>
              <w:rPr>
                <w:b/>
                <w:bCs/>
                <w:color w:val="FFFFFF"/>
                <w:sz w:val="20"/>
                <w:szCs w:val="20"/>
              </w:rPr>
              <w:t xml:space="preserve">Pengertian</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Acta jure imperii / jure gestionis</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Tindakan kedaulatan negara / tindakan komersial negara; yang pertama dilindungi kekebalan negara.</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ALKI</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Alur Laut Kepulauan Indonesia, jalur bagi hak lintas alur laut kepulauan kapal dan pesawat asing.</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ARSIWA</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Articles on Responsibility of States for Internationally Wrongful Acts, naskah ILC 2001 tentang tanggung jawab negara.</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Atribusi</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Pengaitan suatu perbuatan kepada negara menurut hukum internasional.</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Belligerent</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Pihak pemberontak yang diakui sebagai pihak bersengketa dalam perang saudara.</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CBDR-RC</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Common but differentiated responsibilities and respective capabilities: tanggung jawab bersama tetapi berbeda.</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Countermeasures</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Tindakan balasan yang sah dan proporsional terhadap negara yang melanggar hukum internasional.</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De facto / de jure</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Berdasarkan kenyataan / berdasarkan hukum; dipakai untuk jenis pengakuan.</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Effectivités</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Bukti pelaksanaan kekuasaan negara secara nyata di suatu wilayah.</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Erga omnes</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Kewajiban yang ditujukan kepada seluruh masyarakat internasional.</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Ex aequo et bono</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Putusan berdasarkan kepatutan dan kelayakan, bukan semata aturan hukum, jika disetujui para pihak.</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Ekstradisi</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Penyerahan orang yang dituntut atau dihukum dari satu negara ke negara lain.</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Jus ad bellum</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Hukum tentang sah tidaknya penggunaan kekuatan bersenjata.</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Jus cogens</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Norma memaksa yang tidak boleh disimpangi, misalnya larangan genosida dan penyiksaan.</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Jus in bello</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Hukum yang mengatur cara berperang; disebut juga hukum humaniter internasional.</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Komplementaritas</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Asas bahwa ICC hanya bertindak bila negara tidak mau atau tidak mampu mengadili.</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Landas kontinen</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Dasar laut dan tanah di bawahnya yang merupakan kelanjutan alamiah wilayah daratan; negara pantai memiliki hak berdaulat atas sumber dayanya.</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Lex specialis</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Aturan khusus mengesampingkan aturan umum.</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Lintas damai / transit</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Hak melintasi laut teritorial secara damai / hak lintas di selat internasional.</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NDC</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Nationally Determined Contribution: target dan rencana iklim yang ditetapkan tiap negara.</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Opinio juris</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Keyakinan bahwa suatu praktik dilakukan karena diwajibkan hukum.</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Pacta sunt servanda</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Perjanjian harus ditepati dengan itikad baik.</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Persistent objector</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Negara yang secara konsisten menolak suatu norma kebiasaan sejak pembentukannya.</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Ratifikasi</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Pengesahan resmi yang menyatakan suatu negara terikat pada perjanjian.</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Rebus sic stantibus</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Doktrin perubahan keadaan fundamental sebagai alasan mengakhiri perjanjian.</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Reservasi</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Pernyataan sepihak untuk mengecualikan atau mengubah akibat hukum ketentuan perjanjian bagi negara yang bersangkutan.</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Soft law</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Instrumen tidak mengikat secara formal namun berpengaruh pada perilaku negara.</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State practice</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Praktik negara yang membentuk hukum kebiasaan.</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Travaux préparatoires</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Dokumen persiapan perjanjian, sarana tambahan penafsiran.</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Uti possidetis</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Prinsip bahwa batas wilayah negara baru mengikuti batas administratif sebelumnya.</w:t>
            </w:r>
          </w:p>
        </w:tc>
      </w:tr>
      <w:tr>
        <w:trPr>
          <w:cantSplit/>
        </w:trPr>
        <w:tc>
          <w:tcPr>
            <w:tcW w:type="dxa" w:w="2700"/>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Yurisdiksi universal</w:t>
            </w:r>
          </w:p>
        </w:tc>
        <w:tc>
          <w:tcPr>
            <w:tcW w:type="dxa" w:w="6326"/>
            <w:tcBorders>
              <w:top w:val="single" w:color="BFC7D1" w:sz="4"/>
              <w:left w:val="single" w:color="BFC7D1" w:sz="4"/>
              <w:bottom w:val="single" w:color="BFC7D1" w:sz="4"/>
              <w:right w:val="single" w:color="BFC7D1" w:sz="4"/>
            </w:tcBorders>
            <w:tcMar>
              <w:top w:type="dxa" w:w="70"/>
              <w:left w:type="dxa" w:w="110"/>
              <w:bottom w:type="dxa" w:w="70"/>
              <w:right w:type="dxa" w:w="110"/>
            </w:tcMar>
            <w:vAlign w:val="center"/>
          </w:tcPr>
          <w:p>
            <w:pPr>
              <w:spacing w:after="0" w:line="260"/>
              <w:jc w:val="left"/>
            </w:pPr>
            <w:r>
              <w:rPr>
                <w:sz w:val="20"/>
                <w:szCs w:val="20"/>
              </w:rPr>
              <w:t xml:space="preserve">Kewenangan setiap negara mengadili kejahatan tertentu tanpa memandang tempat dan kebangsaan pelaku.</w:t>
            </w:r>
          </w:p>
        </w:tc>
      </w:tr>
      <w:tr>
        <w:trPr>
          <w:cantSplit/>
        </w:trPr>
        <w:tc>
          <w:tcPr>
            <w:tcW w:type="dxa" w:w="2700"/>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ZEE</w:t>
            </w:r>
          </w:p>
        </w:tc>
        <w:tc>
          <w:tcPr>
            <w:tcW w:type="dxa" w:w="6326"/>
            <w:tcBorders>
              <w:top w:val="single" w:color="BFC7D1" w:sz="4"/>
              <w:left w:val="single" w:color="BFC7D1" w:sz="4"/>
              <w:bottom w:val="single" w:color="BFC7D1" w:sz="4"/>
              <w:right w:val="single" w:color="BFC7D1" w:sz="4"/>
            </w:tcBorders>
            <w:shd w:fill="F5F7FA" w:color="auto" w:val="clear"/>
            <w:tcMar>
              <w:top w:type="dxa" w:w="70"/>
              <w:left w:type="dxa" w:w="110"/>
              <w:bottom w:type="dxa" w:w="70"/>
              <w:right w:type="dxa" w:w="110"/>
            </w:tcMar>
            <w:vAlign w:val="center"/>
          </w:tcPr>
          <w:p>
            <w:pPr>
              <w:spacing w:after="0" w:line="260"/>
              <w:jc w:val="left"/>
            </w:pPr>
            <w:r>
              <w:rPr>
                <w:sz w:val="20"/>
                <w:szCs w:val="20"/>
              </w:rPr>
              <w:t xml:space="preserve">Zona Ekonomi Eksklusif, hingga 200 mil laut dari garis pangkal, dengan hak berdaulat atas sumber daya.</w:t>
            </w:r>
          </w:p>
        </w:tc>
      </w:tr>
    </w:tbl>
    <w:p>
      <w:pPr>
        <w:spacing w:after="160" w:line="200"/>
      </w:pPr>
    </w:p>
    <w:p>
      <w:pPr>
        <w:pStyle w:val="Heading1"/>
        <w:keepNext/>
        <w:pageBreakBefore/>
        <w:pBdr>
          <w:bottom w:val="single" w:color="B8892B" w:sz="12" w:space="6"/>
        </w:pBdr>
        <w:spacing w:after="100"/>
      </w:pPr>
      <w:r>
        <w:t xml:space="preserve">Daftar Pustaka</w:t>
      </w:r>
    </w:p>
    <w:p>
      <w:pPr>
        <w:pStyle w:val="Heading2"/>
        <w:keepNext/>
        <w:spacing w:after="120" w:before="280"/>
      </w:pPr>
      <w:r>
        <w:t xml:space="preserve">A. Literatur Utama (Kontrak Perkuliahan)</w:t>
      </w:r>
    </w:p>
    <w:p>
      <w:pPr>
        <w:spacing w:after="100" w:before="0" w:line="300"/>
        <w:jc w:val="left"/>
      </w:pPr>
      <w:r>
        <w:rPr>
          <w:sz w:val="21"/>
          <w:szCs w:val="21"/>
        </w:rPr>
        <w:t xml:space="preserve">Anwar, Arman; Rehatta, V. J. B.; Hattu, Vondaal Vidya; Peilouw, Johanis S. F.; dkk. 2021. </w:t>
      </w:r>
      <w:r>
        <w:rPr>
          <w:i/>
          <w:iCs/>
          <w:sz w:val="21"/>
          <w:szCs w:val="21"/>
        </w:rPr>
        <w:t xml:space="preserve">Hukum Internasional</w:t>
      </w:r>
      <w:r>
        <w:rPr>
          <w:sz w:val="21"/>
          <w:szCs w:val="21"/>
        </w:rPr>
        <w:t xml:space="preserve">. Bandung: Widina Bhakti Persada.</w:t>
      </w:r>
    </w:p>
    <w:p>
      <w:pPr>
        <w:spacing w:after="100" w:before="0" w:line="300"/>
        <w:jc w:val="left"/>
      </w:pPr>
      <w:r>
        <w:rPr>
          <w:sz w:val="21"/>
          <w:szCs w:val="21"/>
        </w:rPr>
        <w:t xml:space="preserve">Boer Mauna. </w:t>
      </w:r>
      <w:r>
        <w:rPr>
          <w:i/>
          <w:iCs/>
          <w:sz w:val="21"/>
          <w:szCs w:val="21"/>
        </w:rPr>
        <w:t xml:space="preserve">Hukum Internasional</w:t>
      </w:r>
      <w:r>
        <w:rPr>
          <w:sz w:val="21"/>
          <w:szCs w:val="21"/>
        </w:rPr>
        <w:t xml:space="preserve">. Bandung: Alumni.</w:t>
      </w:r>
    </w:p>
    <w:p>
      <w:pPr>
        <w:spacing w:after="100" w:before="0" w:line="300"/>
        <w:jc w:val="left"/>
      </w:pPr>
      <w:r>
        <w:rPr>
          <w:sz w:val="21"/>
          <w:szCs w:val="21"/>
        </w:rPr>
        <w:t xml:space="preserve">Cassese, Antonio. </w:t>
      </w:r>
      <w:r>
        <w:rPr>
          <w:i/>
          <w:iCs/>
          <w:sz w:val="21"/>
          <w:szCs w:val="21"/>
        </w:rPr>
        <w:t xml:space="preserve">International Law</w:t>
      </w:r>
      <w:r>
        <w:rPr>
          <w:sz w:val="21"/>
          <w:szCs w:val="21"/>
        </w:rPr>
        <w:t xml:space="preserve">. Oxford: Oxford University Press.</w:t>
      </w:r>
    </w:p>
    <w:p>
      <w:pPr>
        <w:spacing w:after="100" w:before="0" w:line="300"/>
        <w:jc w:val="left"/>
      </w:pPr>
      <w:r>
        <w:rPr>
          <w:sz w:val="21"/>
          <w:szCs w:val="21"/>
        </w:rPr>
        <w:t xml:space="preserve">Mochtar Kusumaatmadja. </w:t>
      </w:r>
      <w:r>
        <w:rPr>
          <w:i/>
          <w:iCs/>
          <w:sz w:val="21"/>
          <w:szCs w:val="21"/>
        </w:rPr>
        <w:t xml:space="preserve">Pengantar Hukum Internasional</w:t>
      </w:r>
      <w:r>
        <w:rPr>
          <w:sz w:val="21"/>
          <w:szCs w:val="21"/>
        </w:rPr>
        <w:t xml:space="preserve">. Bandung: Alumni.</w:t>
      </w:r>
    </w:p>
    <w:p>
      <w:pPr>
        <w:spacing w:after="100" w:before="0" w:line="300"/>
        <w:jc w:val="left"/>
      </w:pPr>
      <w:r>
        <w:rPr>
          <w:sz w:val="21"/>
          <w:szCs w:val="21"/>
        </w:rPr>
        <w:t xml:space="preserve">Shaw, Malcolm N. </w:t>
      </w:r>
      <w:r>
        <w:rPr>
          <w:i/>
          <w:iCs/>
          <w:sz w:val="21"/>
          <w:szCs w:val="21"/>
        </w:rPr>
        <w:t xml:space="preserve">International Law</w:t>
      </w:r>
      <w:r>
        <w:rPr>
          <w:sz w:val="21"/>
          <w:szCs w:val="21"/>
        </w:rPr>
        <w:t xml:space="preserve">. Cambridge: Cambridge University Press.</w:t>
      </w:r>
    </w:p>
    <w:p>
      <w:pPr>
        <w:spacing w:after="100" w:before="0" w:line="300"/>
        <w:jc w:val="left"/>
      </w:pPr>
      <w:r>
        <w:rPr>
          <w:sz w:val="21"/>
          <w:szCs w:val="21"/>
        </w:rPr>
        <w:t xml:space="preserve">Starke, J.G. </w:t>
      </w:r>
      <w:r>
        <w:rPr>
          <w:i/>
          <w:iCs/>
          <w:sz w:val="21"/>
          <w:szCs w:val="21"/>
        </w:rPr>
        <w:t xml:space="preserve">Introduction to International Law</w:t>
      </w:r>
      <w:r>
        <w:rPr>
          <w:sz w:val="21"/>
          <w:szCs w:val="21"/>
        </w:rPr>
        <w:t xml:space="preserve">. London: Butterworths.</w:t>
      </w:r>
    </w:p>
    <w:p>
      <w:pPr>
        <w:spacing w:after="100" w:before="0" w:line="300"/>
        <w:jc w:val="left"/>
      </w:pPr>
      <w:r>
        <w:rPr>
          <w:sz w:val="21"/>
          <w:szCs w:val="21"/>
        </w:rPr>
        <w:t xml:space="preserve">Syofyan, Ahmad. 2022. </w:t>
      </w:r>
      <w:r>
        <w:rPr>
          <w:i/>
          <w:iCs/>
          <w:sz w:val="21"/>
          <w:szCs w:val="21"/>
        </w:rPr>
        <w:t xml:space="preserve">Hukum Internasional</w:t>
      </w:r>
      <w:r>
        <w:rPr>
          <w:sz w:val="21"/>
          <w:szCs w:val="21"/>
        </w:rPr>
        <w:t xml:space="preserve">. Bandar Lampung: Perpustakaan Nasional, Katalog Dalam Terbitan (KDT).</w:t>
      </w:r>
    </w:p>
    <w:p>
      <w:pPr>
        <w:pStyle w:val="Heading2"/>
        <w:keepNext/>
        <w:spacing w:after="120" w:before="280"/>
      </w:pPr>
      <w:r>
        <w:t xml:space="preserve">B. Instrumen Hukum Internasional</w:t>
      </w:r>
    </w:p>
    <w:p>
      <w:pPr>
        <w:pStyle w:val="ListParagraph"/>
        <w:numPr>
          <w:ilvl w:val="0"/>
          <w:numId w:val="2"/>
        </w:numPr>
        <w:spacing w:after="80" w:line="290"/>
        <w:jc w:val="left"/>
      </w:pPr>
      <w:r>
        <w:rPr>
          <w:sz w:val="21"/>
          <w:szCs w:val="21"/>
        </w:rPr>
        <w:t xml:space="preserve">Piagam Perserikatan Bangsa-Bangsa (1945) dan Statuta Mahkamah Internasional (1945).</w:t>
      </w:r>
    </w:p>
    <w:p>
      <w:pPr>
        <w:pStyle w:val="ListParagraph"/>
        <w:numPr>
          <w:ilvl w:val="0"/>
          <w:numId w:val="2"/>
        </w:numPr>
        <w:spacing w:after="80" w:line="290"/>
        <w:jc w:val="left"/>
      </w:pPr>
      <w:r>
        <w:rPr>
          <w:sz w:val="21"/>
          <w:szCs w:val="21"/>
        </w:rPr>
        <w:t xml:space="preserve">Konvensi Montevideo tentang Hak dan Kewajiban Negara (1933).</w:t>
      </w:r>
    </w:p>
    <w:p>
      <w:pPr>
        <w:pStyle w:val="ListParagraph"/>
        <w:numPr>
          <w:ilvl w:val="0"/>
          <w:numId w:val="2"/>
        </w:numPr>
        <w:spacing w:after="80" w:line="290"/>
        <w:jc w:val="left"/>
      </w:pPr>
      <w:r>
        <w:rPr>
          <w:sz w:val="21"/>
          <w:szCs w:val="21"/>
        </w:rPr>
        <w:t xml:space="preserve">Deklarasi Universal Hak Asasi Manusia (1948); Konvensi Pencegahan dan Penghukuman Kejahatan Genosida (1948).</w:t>
      </w:r>
    </w:p>
    <w:p>
      <w:pPr>
        <w:pStyle w:val="ListParagraph"/>
        <w:numPr>
          <w:ilvl w:val="0"/>
          <w:numId w:val="2"/>
        </w:numPr>
        <w:spacing w:after="80" w:line="290"/>
        <w:jc w:val="left"/>
      </w:pPr>
      <w:r>
        <w:rPr>
          <w:sz w:val="21"/>
          <w:szCs w:val="21"/>
        </w:rPr>
        <w:t xml:space="preserve">Empat Konvensi Jenewa (1949) dan Protokol Tambahan (1977, 2005).</w:t>
      </w:r>
    </w:p>
    <w:p>
      <w:pPr>
        <w:pStyle w:val="ListParagraph"/>
        <w:numPr>
          <w:ilvl w:val="0"/>
          <w:numId w:val="2"/>
        </w:numPr>
        <w:spacing w:after="80" w:line="290"/>
        <w:jc w:val="left"/>
      </w:pPr>
      <w:r>
        <w:rPr>
          <w:sz w:val="21"/>
          <w:szCs w:val="21"/>
        </w:rPr>
        <w:t xml:space="preserve">Konvensi Wina tentang Hubungan Diplomatik (1961) dan Hubungan Konsuler (1963).</w:t>
      </w:r>
    </w:p>
    <w:p>
      <w:pPr>
        <w:pStyle w:val="ListParagraph"/>
        <w:numPr>
          <w:ilvl w:val="0"/>
          <w:numId w:val="2"/>
        </w:numPr>
        <w:spacing w:after="80" w:line="290"/>
        <w:jc w:val="left"/>
      </w:pPr>
      <w:r>
        <w:rPr>
          <w:sz w:val="21"/>
          <w:szCs w:val="21"/>
        </w:rPr>
        <w:t xml:space="preserve">Konvensi Wina tentang Hukum Perjanjian (1969).</w:t>
      </w:r>
    </w:p>
    <w:p>
      <w:pPr>
        <w:pStyle w:val="ListParagraph"/>
        <w:numPr>
          <w:ilvl w:val="0"/>
          <w:numId w:val="2"/>
        </w:numPr>
        <w:spacing w:after="80" w:line="290"/>
        <w:jc w:val="left"/>
      </w:pPr>
      <w:r>
        <w:rPr>
          <w:sz w:val="21"/>
          <w:szCs w:val="21"/>
        </w:rPr>
        <w:t xml:space="preserve">Kovenan Internasional Hak Sipil dan Politik (1966); Kovenan Internasional Hak Ekonomi, Sosial, dan Budaya (1966).</w:t>
      </w:r>
    </w:p>
    <w:p>
      <w:pPr>
        <w:pStyle w:val="ListParagraph"/>
        <w:numPr>
          <w:ilvl w:val="0"/>
          <w:numId w:val="2"/>
        </w:numPr>
        <w:spacing w:after="80" w:line="290"/>
        <w:jc w:val="left"/>
      </w:pPr>
      <w:r>
        <w:rPr>
          <w:sz w:val="21"/>
          <w:szCs w:val="21"/>
        </w:rPr>
        <w:t xml:space="preserve">Konvensi PBB tentang Hukum Laut (UNCLOS) 1982.</w:t>
      </w:r>
    </w:p>
    <w:p>
      <w:pPr>
        <w:pStyle w:val="ListParagraph"/>
        <w:numPr>
          <w:ilvl w:val="0"/>
          <w:numId w:val="2"/>
        </w:numPr>
        <w:spacing w:after="80" w:line="290"/>
        <w:jc w:val="left"/>
      </w:pPr>
      <w:r>
        <w:rPr>
          <w:sz w:val="21"/>
          <w:szCs w:val="21"/>
        </w:rPr>
        <w:t xml:space="preserve">Konvensi Kerangka PBB tentang Perubahan Iklim (1992); Protokol Kyoto (1997); Persetujuan Paris (2015).</w:t>
      </w:r>
    </w:p>
    <w:p>
      <w:pPr>
        <w:pStyle w:val="ListParagraph"/>
        <w:numPr>
          <w:ilvl w:val="0"/>
          <w:numId w:val="2"/>
        </w:numPr>
        <w:spacing w:after="80" w:line="290"/>
        <w:jc w:val="left"/>
      </w:pPr>
      <w:r>
        <w:rPr>
          <w:sz w:val="21"/>
          <w:szCs w:val="21"/>
        </w:rPr>
        <w:t xml:space="preserve">Statuta Roma tentang Mahkamah Pidana Internasional (1998).</w:t>
      </w:r>
    </w:p>
    <w:p>
      <w:pPr>
        <w:pStyle w:val="ListParagraph"/>
        <w:numPr>
          <w:ilvl w:val="0"/>
          <w:numId w:val="2"/>
        </w:numPr>
        <w:spacing w:after="80" w:line="290"/>
        <w:jc w:val="left"/>
      </w:pPr>
      <w:r>
        <w:rPr>
          <w:sz w:val="21"/>
          <w:szCs w:val="21"/>
        </w:rPr>
        <w:t xml:space="preserve">Articles on Responsibility of States for Internationally Wrongful Acts, International Law Commission (2001).</w:t>
      </w:r>
    </w:p>
    <w:p>
      <w:pPr>
        <w:pStyle w:val="ListParagraph"/>
        <w:numPr>
          <w:ilvl w:val="0"/>
          <w:numId w:val="2"/>
        </w:numPr>
        <w:spacing w:after="80" w:line="290"/>
        <w:jc w:val="left"/>
      </w:pPr>
      <w:r>
        <w:rPr>
          <w:sz w:val="21"/>
          <w:szCs w:val="21"/>
        </w:rPr>
        <w:t xml:space="preserve">ASEAN Agreement on Transboundary Haze Pollution (2002); Konvensi Budapest tentang Kejahatan Siber (2001).</w:t>
      </w:r>
    </w:p>
    <w:p>
      <w:pPr>
        <w:pStyle w:val="Heading2"/>
        <w:keepNext/>
        <w:spacing w:after="120" w:before="280"/>
      </w:pPr>
      <w:r>
        <w:t xml:space="preserve">C. Peraturan Perundang-undangan Indonesia</w:t>
      </w:r>
    </w:p>
    <w:p>
      <w:pPr>
        <w:pStyle w:val="ListParagraph"/>
        <w:numPr>
          <w:ilvl w:val="0"/>
          <w:numId w:val="2"/>
        </w:numPr>
        <w:spacing w:after="80" w:line="290"/>
        <w:jc w:val="left"/>
      </w:pPr>
      <w:r>
        <w:rPr>
          <w:sz w:val="21"/>
          <w:szCs w:val="21"/>
        </w:rPr>
        <w:t xml:space="preserve">Undang-Undang Dasar Negara Republik Indonesia Tahun 1945.</w:t>
      </w:r>
    </w:p>
    <w:p>
      <w:pPr>
        <w:pStyle w:val="ListParagraph"/>
        <w:numPr>
          <w:ilvl w:val="0"/>
          <w:numId w:val="2"/>
        </w:numPr>
        <w:spacing w:after="80" w:line="290"/>
        <w:jc w:val="left"/>
      </w:pPr>
      <w:r>
        <w:rPr>
          <w:sz w:val="21"/>
          <w:szCs w:val="21"/>
        </w:rPr>
        <w:t xml:space="preserve">UU No. 24 Tahun 2000 tentang Perjanjian Internasional; UU No. 37 Tahun 1999 tentang Hubungan Luar Negeri; UU No. 1 Tahun 1979 tentang Ekstradisi.</w:t>
      </w:r>
    </w:p>
    <w:p>
      <w:pPr>
        <w:pStyle w:val="ListParagraph"/>
        <w:numPr>
          <w:ilvl w:val="0"/>
          <w:numId w:val="2"/>
        </w:numPr>
        <w:spacing w:after="80" w:line="290"/>
        <w:jc w:val="left"/>
      </w:pPr>
      <w:r>
        <w:rPr>
          <w:sz w:val="21"/>
          <w:szCs w:val="21"/>
        </w:rPr>
        <w:t xml:space="preserve">UU No. 17 Tahun 1985 (pengesahan UNCLOS); UU No. 6 Tahun 1996 tentang Perairan Indonesia; UU No. 32 Tahun 2014 tentang Kelautan; PP No. 37 Tahun 2002 tentang Hak dan Kewajiban Kapal dan Pesawat Udara Asing dalam Melaksanakan Hak Lintas Alur Laut Kepulauan.</w:t>
      </w:r>
    </w:p>
    <w:p>
      <w:pPr>
        <w:pStyle w:val="ListParagraph"/>
        <w:numPr>
          <w:ilvl w:val="0"/>
          <w:numId w:val="2"/>
        </w:numPr>
        <w:spacing w:after="80" w:line="290"/>
        <w:jc w:val="left"/>
      </w:pPr>
      <w:r>
        <w:rPr>
          <w:sz w:val="21"/>
          <w:szCs w:val="21"/>
        </w:rPr>
        <w:t xml:space="preserve">UU No. 6 Tahun 1994 (UNFCCC); UU No. 17 Tahun 2004 (Protokol Kyoto); UU No. 16 Tahun 2016 (Persetujuan Paris); UU No. 26 Tahun 2014 (ASEAN Agreement on Transboundary Haze Pollution).</w:t>
      </w:r>
    </w:p>
    <w:p>
      <w:pPr>
        <w:pStyle w:val="ListParagraph"/>
        <w:numPr>
          <w:ilvl w:val="0"/>
          <w:numId w:val="2"/>
        </w:numPr>
        <w:spacing w:after="80" w:line="290"/>
        <w:jc w:val="left"/>
      </w:pPr>
      <w:r>
        <w:rPr>
          <w:sz w:val="21"/>
          <w:szCs w:val="21"/>
        </w:rPr>
        <w:t xml:space="preserve">UU No. 12 Tahun 2005 (ICCPR); UU No. 11 Tahun 2005 (ICESCR); UU No. 39 Tahun 1999 tentang Hak Asasi Manusia; UU No. 26 Tahun 2000 tentang Pengadilan Hak Asasi Manusia; UU No. 59 Tahun 1958 (Konvensi Jenewa 1949).</w:t>
      </w:r>
    </w:p>
    <w:p>
      <w:pPr>
        <w:pStyle w:val="ListParagraph"/>
        <w:numPr>
          <w:ilvl w:val="0"/>
          <w:numId w:val="2"/>
        </w:numPr>
        <w:spacing w:after="80" w:line="290"/>
        <w:jc w:val="left"/>
      </w:pPr>
      <w:r>
        <w:rPr>
          <w:sz w:val="21"/>
          <w:szCs w:val="21"/>
        </w:rPr>
        <w:t xml:space="preserve">UU No. 38 Tahun 2008 (Piagam ASEAN); UU No. 1 Tahun 2023 tentang KUHP; UU No. 11 Tahun 2008 tentang ITE sebagaimana diubah dengan UU No. 19 Tahun 2016 dan UU No. 1 Tahun 2024; UU No. 27 Tahun 2022 tentang Pelindungan Data Pribadi.</w:t>
      </w:r>
    </w:p>
    <w:p>
      <w:pPr>
        <w:pStyle w:val="Heading2"/>
        <w:keepNext/>
        <w:spacing w:after="120" w:before="280"/>
      </w:pPr>
      <w:r>
        <w:t xml:space="preserve">D. Putusan, Pendapat Penasihat, dan Arbitrase</w:t>
      </w:r>
    </w:p>
    <w:p>
      <w:pPr>
        <w:pStyle w:val="ListParagraph"/>
        <w:numPr>
          <w:ilvl w:val="0"/>
          <w:numId w:val="2"/>
        </w:numPr>
        <w:spacing w:after="80" w:line="290"/>
        <w:jc w:val="left"/>
      </w:pPr>
      <w:r>
        <w:rPr>
          <w:i/>
          <w:iCs/>
          <w:sz w:val="21"/>
          <w:szCs w:val="21"/>
        </w:rPr>
        <w:t xml:space="preserve">S.S. Lotus</w:t>
      </w:r>
      <w:r>
        <w:rPr>
          <w:sz w:val="21"/>
          <w:szCs w:val="21"/>
        </w:rPr>
        <w:t xml:space="preserve"> (PCIJ, 1927); </w:t>
      </w:r>
      <w:r>
        <w:rPr>
          <w:i/>
          <w:iCs/>
          <w:sz w:val="21"/>
          <w:szCs w:val="21"/>
        </w:rPr>
        <w:t xml:space="preserve">Chorzów Factory</w:t>
      </w:r>
      <w:r>
        <w:rPr>
          <w:sz w:val="21"/>
          <w:szCs w:val="21"/>
        </w:rPr>
        <w:t xml:space="preserve"> (PCIJ, 1928); </w:t>
      </w:r>
      <w:r>
        <w:rPr>
          <w:i/>
          <w:iCs/>
          <w:sz w:val="21"/>
          <w:szCs w:val="21"/>
        </w:rPr>
        <w:t xml:space="preserve">Island of Palmas</w:t>
      </w:r>
      <w:r>
        <w:rPr>
          <w:sz w:val="21"/>
          <w:szCs w:val="21"/>
        </w:rPr>
        <w:t xml:space="preserve"> (PCA, 1928); </w:t>
      </w:r>
      <w:r>
        <w:rPr>
          <w:i/>
          <w:iCs/>
          <w:sz w:val="21"/>
          <w:szCs w:val="21"/>
        </w:rPr>
        <w:t xml:space="preserve">Trail Smelter</w:t>
      </w:r>
      <w:r>
        <w:rPr>
          <w:sz w:val="21"/>
          <w:szCs w:val="21"/>
        </w:rPr>
        <w:t xml:space="preserve"> (Arbitrase, 1941).</w:t>
      </w:r>
    </w:p>
    <w:p>
      <w:pPr>
        <w:pStyle w:val="ListParagraph"/>
        <w:numPr>
          <w:ilvl w:val="0"/>
          <w:numId w:val="2"/>
        </w:numPr>
        <w:spacing w:after="80" w:line="290"/>
        <w:jc w:val="left"/>
      </w:pPr>
      <w:r>
        <w:rPr>
          <w:i/>
          <w:iCs/>
          <w:sz w:val="21"/>
          <w:szCs w:val="21"/>
        </w:rPr>
        <w:t xml:space="preserve">Corfu Channel</w:t>
      </w:r>
      <w:r>
        <w:rPr>
          <w:sz w:val="21"/>
          <w:szCs w:val="21"/>
        </w:rPr>
        <w:t xml:space="preserve"> (ICJ, 1949); </w:t>
      </w:r>
      <w:r>
        <w:rPr>
          <w:i/>
          <w:iCs/>
          <w:sz w:val="21"/>
          <w:szCs w:val="21"/>
        </w:rPr>
        <w:t xml:space="preserve">Reparation for Injuries</w:t>
      </w:r>
      <w:r>
        <w:rPr>
          <w:sz w:val="21"/>
          <w:szCs w:val="21"/>
        </w:rPr>
        <w:t xml:space="preserve"> (ICJ, Pendapat Penasihat, 1949); </w:t>
      </w:r>
      <w:r>
        <w:rPr>
          <w:i/>
          <w:iCs/>
          <w:sz w:val="21"/>
          <w:szCs w:val="21"/>
        </w:rPr>
        <w:t xml:space="preserve">Asylum</w:t>
      </w:r>
      <w:r>
        <w:rPr>
          <w:sz w:val="21"/>
          <w:szCs w:val="21"/>
        </w:rPr>
        <w:t xml:space="preserve"> (ICJ, 1950); </w:t>
      </w:r>
      <w:r>
        <w:rPr>
          <w:i/>
          <w:iCs/>
          <w:sz w:val="21"/>
          <w:szCs w:val="21"/>
        </w:rPr>
        <w:t xml:space="preserve">Reservations to the Genocide Convention</w:t>
      </w:r>
      <w:r>
        <w:rPr>
          <w:sz w:val="21"/>
          <w:szCs w:val="21"/>
        </w:rPr>
        <w:t xml:space="preserve"> (ICJ, Pendapat Penasihat, 1951); </w:t>
      </w:r>
      <w:r>
        <w:rPr>
          <w:i/>
          <w:iCs/>
          <w:sz w:val="21"/>
          <w:szCs w:val="21"/>
        </w:rPr>
        <w:t xml:space="preserve">Nottebohm</w:t>
      </w:r>
      <w:r>
        <w:rPr>
          <w:sz w:val="21"/>
          <w:szCs w:val="21"/>
        </w:rPr>
        <w:t xml:space="preserve"> (ICJ, 1955).</w:t>
      </w:r>
    </w:p>
    <w:p>
      <w:pPr>
        <w:pStyle w:val="ListParagraph"/>
        <w:numPr>
          <w:ilvl w:val="0"/>
          <w:numId w:val="2"/>
        </w:numPr>
        <w:spacing w:after="80" w:line="290"/>
        <w:jc w:val="left"/>
      </w:pPr>
      <w:r>
        <w:rPr>
          <w:i/>
          <w:iCs/>
          <w:sz w:val="21"/>
          <w:szCs w:val="21"/>
        </w:rPr>
        <w:t xml:space="preserve">North Sea Continental Shelf</w:t>
      </w:r>
      <w:r>
        <w:rPr>
          <w:sz w:val="21"/>
          <w:szCs w:val="21"/>
        </w:rPr>
        <w:t xml:space="preserve"> (ICJ, 1969); </w:t>
      </w:r>
      <w:r>
        <w:rPr>
          <w:i/>
          <w:iCs/>
          <w:sz w:val="21"/>
          <w:szCs w:val="21"/>
        </w:rPr>
        <w:t xml:space="preserve">Barcelona Traction</w:t>
      </w:r>
      <w:r>
        <w:rPr>
          <w:sz w:val="21"/>
          <w:szCs w:val="21"/>
        </w:rPr>
        <w:t xml:space="preserve"> (ICJ, 1970); </w:t>
      </w:r>
      <w:r>
        <w:rPr>
          <w:i/>
          <w:iCs/>
          <w:sz w:val="21"/>
          <w:szCs w:val="21"/>
        </w:rPr>
        <w:t xml:space="preserve">Nuclear Tests</w:t>
      </w:r>
      <w:r>
        <w:rPr>
          <w:sz w:val="21"/>
          <w:szCs w:val="21"/>
        </w:rPr>
        <w:t xml:space="preserve"> (ICJ, 1974); </w:t>
      </w:r>
      <w:r>
        <w:rPr>
          <w:i/>
          <w:iCs/>
          <w:sz w:val="21"/>
          <w:szCs w:val="21"/>
        </w:rPr>
        <w:t xml:space="preserve">Nicaragua v. United States</w:t>
      </w:r>
      <w:r>
        <w:rPr>
          <w:sz w:val="21"/>
          <w:szCs w:val="21"/>
        </w:rPr>
        <w:t xml:space="preserve"> (ICJ, 1986); </w:t>
      </w:r>
      <w:r>
        <w:rPr>
          <w:i/>
          <w:iCs/>
          <w:sz w:val="21"/>
          <w:szCs w:val="21"/>
        </w:rPr>
        <w:t xml:space="preserve">Rainbow Warrior</w:t>
      </w:r>
      <w:r>
        <w:rPr>
          <w:sz w:val="21"/>
          <w:szCs w:val="21"/>
        </w:rPr>
        <w:t xml:space="preserve"> (Arbitrase, 1990).</w:t>
      </w:r>
    </w:p>
    <w:p>
      <w:pPr>
        <w:pStyle w:val="ListParagraph"/>
        <w:numPr>
          <w:ilvl w:val="0"/>
          <w:numId w:val="2"/>
        </w:numPr>
        <w:spacing w:after="80" w:line="290"/>
        <w:jc w:val="left"/>
      </w:pPr>
      <w:r>
        <w:rPr>
          <w:i/>
          <w:iCs/>
          <w:sz w:val="21"/>
          <w:szCs w:val="21"/>
        </w:rPr>
        <w:t xml:space="preserve">Legality of the Threat or Use of Nuclear Weapons</w:t>
      </w:r>
      <w:r>
        <w:rPr>
          <w:sz w:val="21"/>
          <w:szCs w:val="21"/>
        </w:rPr>
        <w:t xml:space="preserve"> (ICJ, Pendapat Penasihat, 1996); </w:t>
      </w:r>
      <w:r>
        <w:rPr>
          <w:i/>
          <w:iCs/>
          <w:sz w:val="21"/>
          <w:szCs w:val="21"/>
        </w:rPr>
        <w:t xml:space="preserve">Gabčíkovo-Nagymaros</w:t>
      </w:r>
      <w:r>
        <w:rPr>
          <w:sz w:val="21"/>
          <w:szCs w:val="21"/>
        </w:rPr>
        <w:t xml:space="preserve"> (ICJ, 1997); </w:t>
      </w:r>
      <w:r>
        <w:rPr>
          <w:i/>
          <w:iCs/>
          <w:sz w:val="21"/>
          <w:szCs w:val="21"/>
        </w:rPr>
        <w:t xml:space="preserve">LaGrand</w:t>
      </w:r>
      <w:r>
        <w:rPr>
          <w:sz w:val="21"/>
          <w:szCs w:val="21"/>
        </w:rPr>
        <w:t xml:space="preserve"> (ICJ, 2001); </w:t>
      </w:r>
      <w:r>
        <w:rPr>
          <w:i/>
          <w:iCs/>
          <w:sz w:val="21"/>
          <w:szCs w:val="21"/>
        </w:rPr>
        <w:t xml:space="preserve">Arrest Warrant</w:t>
      </w:r>
      <w:r>
        <w:rPr>
          <w:sz w:val="21"/>
          <w:szCs w:val="21"/>
        </w:rPr>
        <w:t xml:space="preserve"> (ICJ, 2002); </w:t>
      </w:r>
      <w:r>
        <w:rPr>
          <w:i/>
          <w:iCs/>
          <w:sz w:val="21"/>
          <w:szCs w:val="21"/>
        </w:rPr>
        <w:t xml:space="preserve">Sipadan-Ligitan</w:t>
      </w:r>
      <w:r>
        <w:rPr>
          <w:sz w:val="21"/>
          <w:szCs w:val="21"/>
        </w:rPr>
        <w:t xml:space="preserve"> (ICJ, 2002).</w:t>
      </w:r>
    </w:p>
    <w:p>
      <w:pPr>
        <w:pStyle w:val="ListParagraph"/>
        <w:numPr>
          <w:ilvl w:val="0"/>
          <w:numId w:val="2"/>
        </w:numPr>
        <w:spacing w:after="80" w:line="290"/>
        <w:jc w:val="left"/>
      </w:pPr>
      <w:r>
        <w:rPr>
          <w:i/>
          <w:iCs/>
          <w:sz w:val="21"/>
          <w:szCs w:val="21"/>
        </w:rPr>
        <w:t xml:space="preserve">Bosnia Genocide</w:t>
      </w:r>
      <w:r>
        <w:rPr>
          <w:sz w:val="21"/>
          <w:szCs w:val="21"/>
        </w:rPr>
        <w:t xml:space="preserve"> (ICJ, 2007); </w:t>
      </w:r>
      <w:r>
        <w:rPr>
          <w:i/>
          <w:iCs/>
          <w:sz w:val="21"/>
          <w:szCs w:val="21"/>
        </w:rPr>
        <w:t xml:space="preserve">Kosovo</w:t>
      </w:r>
      <w:r>
        <w:rPr>
          <w:sz w:val="21"/>
          <w:szCs w:val="21"/>
        </w:rPr>
        <w:t xml:space="preserve"> (ICJ, Pendapat Penasihat, 2010); </w:t>
      </w:r>
      <w:r>
        <w:rPr>
          <w:i/>
          <w:iCs/>
          <w:sz w:val="21"/>
          <w:szCs w:val="21"/>
        </w:rPr>
        <w:t xml:space="preserve">South China Sea Arbitration</w:t>
      </w:r>
      <w:r>
        <w:rPr>
          <w:sz w:val="21"/>
          <w:szCs w:val="21"/>
        </w:rPr>
        <w:t xml:space="preserve"> (PCA, 2016); pendapat penasihat ITLOS tentang perubahan iklim (2024); pendapat penasihat ICJ tentang perubahan iklim (2025).</w:t>
      </w:r>
    </w:p>
    <w:p>
      <w:pPr>
        <w:spacing w:after="120" w:line="200"/>
      </w:pPr>
    </w:p>
    <w:p>
      <w:pPr>
        <w:spacing w:after="140" w:before="0" w:line="300"/>
        <w:jc w:val="left"/>
      </w:pPr>
      <w:r>
        <w:rPr>
          <w:color w:val="595959"/>
          <w:sz w:val="20"/>
          <w:szCs w:val="20"/>
        </w:rPr>
        <w:t xml:space="preserve">Catatan: pastikan Anda memeriksa edisi, tahun terbit, dan halaman rujukan pada buku yang tersedia di perpustakaan, serta memeriksa teks instrumen dan putusan pada sumber resmi (situs PBB, ICJ, PCA, ITLOS, dan JDIH Indonesia) sebelum mengutipnya dalam karya ilmiah.</w:t>
      </w:r>
    </w:p>
    <w:sectPr>
      <w:headerReference w:type="default" r:id="rId7"/>
      <w:footerReference w:type="default" r:id="rId8"/>
      <w:pgSz w:w="11906" w:h="16838" w:orient="portrait"/>
      <w:pgMar w:top="1440" w:right="1440" w:bottom="1300" w:left="1440" w:header="62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8"/>
        <w:szCs w:val="18"/>
      </w:rPr>
      <w:t xml:space="preserve">Halaman </w:t>
    </w:r>
    <w:r>
      <w:rPr>
        <w:color w:val="7F7F7F"/>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7D1" w:sz="4" w:space="4"/>
      </w:pBdr>
      <w:jc w:val="right"/>
    </w:pPr>
    <w:r>
      <w:rPr>
        <w:color w:val="7F7F7F"/>
        <w:sz w:val="17"/>
        <w:szCs w:val="17"/>
      </w:rPr>
      <w:t xml:space="preserve">Modul Hukum Internasional  |  S1 Hukum, Universitas Hang Tuah Pekanbaru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B8892B"/>
      </w:rPr>
    </w:lvl>
  </w:abstractNum>
  <w:abstractNum w:abstractNumId="3" w15:restartNumberingAfterBreak="0">
    <w:multiLevelType w:val="hybridMultilevel"/>
    <w:lvl w:ilvl="0" w15:tentative="1">
      <w:start w:val="1"/>
      <w:numFmt w:val="decimal"/>
      <w:lvlText w:val="%1."/>
      <w:lvlJc w:val="left"/>
      <w:pPr>
        <w:ind w:left="460" w:hanging="320"/>
      </w:pPr>
      <w:rPr>
        <w:b/>
        <w:bCs/>
      </w:rPr>
    </w:lvl>
  </w:abstractNum>
  <w:abstractNum w:abstractNumId="4" w15:restartNumberingAfterBreak="0">
    <w:multiLevelType w:val="hybridMultilevel"/>
    <w:lvl w:ilvl="0" w15:tentative="1">
      <w:start w:val="1"/>
      <w:numFmt w:val="decimal"/>
      <w:lvlText w:val="%1."/>
      <w:lvlJc w:val="left"/>
      <w:pPr>
        <w:ind w:left="460" w:hanging="320"/>
      </w:pPr>
      <w:rPr>
        <w:b/>
        <w:bCs/>
      </w:rPr>
    </w:lvl>
  </w:abstractNum>
  <w:abstractNum w:abstractNumId="5" w15:restartNumberingAfterBreak="0">
    <w:multiLevelType w:val="hybridMultilevel"/>
    <w:lvl w:ilvl="0" w15:tentative="1">
      <w:start w:val="1"/>
      <w:numFmt w:val="decimal"/>
      <w:lvlText w:val="%1."/>
      <w:lvlJc w:val="left"/>
      <w:pPr>
        <w:ind w:left="460" w:hanging="320"/>
      </w:pPr>
      <w:rPr>
        <w:b/>
        <w:bCs/>
      </w:rPr>
    </w:lvl>
  </w:abstractNum>
  <w:abstractNum w:abstractNumId="6" w15:restartNumberingAfterBreak="0">
    <w:multiLevelType w:val="hybridMultilevel"/>
    <w:lvl w:ilvl="0" w15:tentative="1">
      <w:start w:val="1"/>
      <w:numFmt w:val="decimal"/>
      <w:lvlText w:val="%1."/>
      <w:lvlJc w:val="left"/>
      <w:pPr>
        <w:ind w:left="460" w:hanging="320"/>
      </w:pPr>
      <w:rPr>
        <w:b/>
        <w:bCs/>
      </w:rPr>
    </w:lvl>
  </w:abstractNum>
  <w:abstractNum w:abstractNumId="7" w15:restartNumberingAfterBreak="0">
    <w:multiLevelType w:val="hybridMultilevel"/>
    <w:lvl w:ilvl="0" w15:tentative="1">
      <w:start w:val="1"/>
      <w:numFmt w:val="decimal"/>
      <w:lvlText w:val="%1."/>
      <w:lvlJc w:val="left"/>
      <w:pPr>
        <w:ind w:left="460" w:hanging="320"/>
      </w:pPr>
      <w:rPr>
        <w:b/>
        <w:bCs/>
      </w:rPr>
    </w:lvl>
  </w:abstractNum>
  <w:abstractNum w:abstractNumId="8" w15:restartNumberingAfterBreak="0">
    <w:multiLevelType w:val="hybridMultilevel"/>
    <w:lvl w:ilvl="0" w15:tentative="1">
      <w:start w:val="1"/>
      <w:numFmt w:val="decimal"/>
      <w:lvlText w:val="%1."/>
      <w:lvlJc w:val="left"/>
      <w:pPr>
        <w:ind w:left="460" w:hanging="320"/>
      </w:pPr>
      <w:rPr>
        <w:b/>
        <w:bCs/>
      </w:rPr>
    </w:lvl>
  </w:abstractNum>
  <w:abstractNum w:abstractNumId="9" w15:restartNumberingAfterBreak="0">
    <w:multiLevelType w:val="hybridMultilevel"/>
    <w:lvl w:ilvl="0" w15:tentative="1">
      <w:start w:val="1"/>
      <w:numFmt w:val="decimal"/>
      <w:lvlText w:val="%1."/>
      <w:lvlJc w:val="left"/>
      <w:pPr>
        <w:ind w:left="460" w:hanging="320"/>
      </w:pPr>
      <w:rPr>
        <w:b/>
        <w:bCs/>
      </w:rPr>
    </w:lvl>
  </w:abstractNum>
  <w:abstractNum w:abstractNumId="10" w15:restartNumberingAfterBreak="0">
    <w:multiLevelType w:val="hybridMultilevel"/>
    <w:lvl w:ilvl="0" w15:tentative="1">
      <w:start w:val="1"/>
      <w:numFmt w:val="decimal"/>
      <w:lvlText w:val="%1."/>
      <w:lvlJc w:val="left"/>
      <w:pPr>
        <w:ind w:left="460" w:hanging="320"/>
      </w:pPr>
      <w:rPr>
        <w:b/>
        <w:bCs/>
      </w:rPr>
    </w:lvl>
  </w:abstractNum>
  <w:abstractNum w:abstractNumId="11" w15:restartNumberingAfterBreak="0">
    <w:multiLevelType w:val="hybridMultilevel"/>
    <w:lvl w:ilvl="0" w15:tentative="1">
      <w:start w:val="1"/>
      <w:numFmt w:val="decimal"/>
      <w:lvlText w:val="%1."/>
      <w:lvlJc w:val="left"/>
      <w:pPr>
        <w:ind w:left="460" w:hanging="320"/>
      </w:pPr>
      <w:rPr>
        <w:b/>
        <w:bCs/>
      </w:rPr>
    </w:lvl>
  </w:abstractNum>
  <w:abstractNum w:abstractNumId="12" w15:restartNumberingAfterBreak="0">
    <w:multiLevelType w:val="hybridMultilevel"/>
    <w:lvl w:ilvl="0" w15:tentative="1">
      <w:start w:val="1"/>
      <w:numFmt w:val="decimal"/>
      <w:lvlText w:val="%1."/>
      <w:lvlJc w:val="left"/>
      <w:pPr>
        <w:ind w:left="460" w:hanging="320"/>
      </w:pPr>
      <w:rPr>
        <w:b/>
        <w:bCs/>
      </w:rPr>
    </w:lvl>
  </w:abstractNum>
  <w:abstractNum w:abstractNumId="13" w15:restartNumberingAfterBreak="0">
    <w:multiLevelType w:val="hybridMultilevel"/>
    <w:lvl w:ilvl="0" w15:tentative="1">
      <w:start w:val="1"/>
      <w:numFmt w:val="decimal"/>
      <w:lvlText w:val="%1."/>
      <w:lvlJc w:val="left"/>
      <w:pPr>
        <w:ind w:left="460" w:hanging="320"/>
      </w:pPr>
      <w:rPr>
        <w:b/>
        <w:bCs/>
      </w:rPr>
    </w:lvl>
  </w:abstractNum>
  <w:abstractNum w:abstractNumId="14" w15:restartNumberingAfterBreak="0">
    <w:multiLevelType w:val="hybridMultilevel"/>
    <w:lvl w:ilvl="0" w15:tentative="1">
      <w:start w:val="1"/>
      <w:numFmt w:val="decimal"/>
      <w:lvlText w:val="%1."/>
      <w:lvlJc w:val="left"/>
      <w:pPr>
        <w:ind w:left="460" w:hanging="320"/>
      </w:pPr>
      <w:rPr>
        <w:b/>
        <w:bCs/>
      </w:rPr>
    </w:lvl>
  </w:abstractNum>
  <w:abstractNum w:abstractNumId="15" w15:restartNumberingAfterBreak="0">
    <w:multiLevelType w:val="hybridMultilevel"/>
    <w:lvl w:ilvl="0" w15:tentative="1">
      <w:start w:val="1"/>
      <w:numFmt w:val="decimal"/>
      <w:lvlText w:val="%1."/>
      <w:lvlJc w:val="left"/>
      <w:pPr>
        <w:ind w:left="460" w:hanging="320"/>
      </w:pPr>
      <w:rPr>
        <w:b/>
        <w:bCs/>
      </w:rPr>
    </w:lvl>
  </w:abstractNum>
  <w:abstractNum w:abstractNumId="16" w15:restartNumberingAfterBreak="0">
    <w:multiLevelType w:val="hybridMultilevel"/>
    <w:lvl w:ilvl="0" w15:tentative="1">
      <w:start w:val="1"/>
      <w:numFmt w:val="decimal"/>
      <w:lvlText w:val="%1."/>
      <w:lvlJc w:val="left"/>
      <w:pPr>
        <w:ind w:left="460" w:hanging="320"/>
      </w:pPr>
      <w:rPr>
        <w:b/>
        <w:bCs/>
      </w:rPr>
    </w:lvl>
  </w:abstractNum>
  <w:abstractNum w:abstractNumId="17" w15:restartNumberingAfterBreak="0">
    <w:multiLevelType w:val="hybridMultilevel"/>
    <w:lvl w:ilvl="0" w15:tentative="1">
      <w:start w:val="1"/>
      <w:numFmt w:val="decimal"/>
      <w:lvlText w:val="%1."/>
      <w:lvlJc w:val="left"/>
      <w:pPr>
        <w:ind w:left="460" w:hanging="320"/>
      </w:pPr>
      <w:rPr>
        <w:b/>
        <w:bCs/>
      </w:rPr>
    </w:lvl>
  </w:abstractNum>
  <w:abstractNum w:abstractNumId="18" w15:restartNumberingAfterBreak="0">
    <w:multiLevelType w:val="hybridMultilevel"/>
    <w:lvl w:ilvl="0" w15:tentative="1">
      <w:start w:val="1"/>
      <w:numFmt w:val="decimal"/>
      <w:lvlText w:val="%1."/>
      <w:lvlJc w:val="left"/>
      <w:pPr>
        <w:ind w:left="460" w:hanging="320"/>
      </w:pPr>
      <w:rPr>
        <w:b/>
        <w:bCs/>
      </w:rPr>
    </w:lvl>
  </w:abstractNum>
  <w:abstractNum w:abstractNumId="19" w15:restartNumberingAfterBreak="0">
    <w:multiLevelType w:val="hybridMultilevel"/>
    <w:lvl w:ilvl="0" w15:tentative="1">
      <w:start w:val="1"/>
      <w:numFmt w:val="decimal"/>
      <w:lvlText w:val="%1."/>
      <w:lvlJc w:val="left"/>
      <w:pPr>
        <w:ind w:left="460" w:hanging="320"/>
      </w:pPr>
      <w:rPr>
        <w:b/>
        <w:bCs/>
      </w:rPr>
    </w:lvl>
  </w:abstractNum>
  <w:abstractNum w:abstractNumId="20" w15:restartNumberingAfterBreak="0">
    <w:multiLevelType w:val="hybridMultilevel"/>
    <w:lvl w:ilvl="0" w15:tentative="1">
      <w:start w:val="1"/>
      <w:numFmt w:val="decimal"/>
      <w:lvlText w:val="%1."/>
      <w:lvlJc w:val="left"/>
      <w:pPr>
        <w:ind w:left="460" w:hanging="320"/>
      </w:pPr>
      <w:rPr>
        <w:b/>
        <w:bCs/>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 w:numId="19">
    <w:abstractNumId w:val="19"/>
    <w:lvlOverride w:ilvl="0">
      <w:startOverride w:val="1"/>
    </w:lvlOverride>
  </w:num>
  <w:num w:numId="20">
    <w:abstractNumId w:val="2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120"/>
      <w:outlineLvl w:val="0"/>
    </w:pPr>
    <w:rPr>
      <w:rFonts w:ascii="Cambria" w:cs="Cambria" w:eastAsia="Cambria" w:hAnsi="Cambria"/>
      <w:b/>
      <w:bCs/>
      <w:color w:val="1F3A5F"/>
      <w:sz w:val="44"/>
      <w:szCs w:val="44"/>
    </w:rPr>
  </w:style>
  <w:style w:type="paragraph" w:styleId="Heading2">
    <w:name w:val="Heading 2"/>
    <w:basedOn w:val="Normal"/>
    <w:next w:val="Normal"/>
    <w:qFormat/>
    <w:pPr>
      <w:spacing w:after="120" w:before="280"/>
      <w:outlineLvl w:val="1"/>
    </w:pPr>
    <w:rPr>
      <w:rFonts w:ascii="Cambria" w:cs="Cambria" w:eastAsia="Cambria" w:hAnsi="Cambria"/>
      <w:b/>
      <w:bCs/>
      <w:color w:val="1F3A5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Bahan Ajar Hukum Internasional</dc:title>
  <dc:creator>Dr. Sri Dwi Retno Ningsih, S.H., M.H.</dc:creator>
  <dc:description>Modul Bahan Ajar Hukum Internasional, Program Studi S1 Hukum, Universitas Hang Tuah Pekanbaru</dc:description>
  <cp:lastModifiedBy>Un-named</cp:lastModifiedBy>
  <cp:revision>1</cp:revision>
  <dcterms:created xsi:type="dcterms:W3CDTF">2026-09-30T03:56:26.181Z</dcterms:created>
  <dcterms:modified xsi:type="dcterms:W3CDTF">2026-09-30T03:56:26.181Z</dcterms:modified>
</cp:coreProperties>
</file>

<file path=docProps/custom.xml><?xml version="1.0" encoding="utf-8"?>
<Properties xmlns="http://schemas.openxmlformats.org/officeDocument/2006/custom-properties" xmlns:vt="http://schemas.openxmlformats.org/officeDocument/2006/docPropsVTypes"/>
</file>